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C156E" w:rsidRPr="002C156E" w:rsidRDefault="002C156E" w:rsidP="002C156E">
      <w:pPr>
        <w:jc w:val="center"/>
        <w:rPr>
          <w:rFonts w:asciiTheme="minorEastAsia" w:eastAsiaTheme="minorEastAsia" w:hAnsiTheme="minorEastAsia"/>
          <w:b/>
          <w:sz w:val="24"/>
          <w:szCs w:val="24"/>
          <w:lang w:val="zh-CN"/>
        </w:rPr>
      </w:pPr>
      <w:r w:rsidRPr="002C156E">
        <w:rPr>
          <w:rFonts w:asciiTheme="minorEastAsia" w:eastAsiaTheme="minorEastAsia" w:hAnsiTheme="minorEastAsia" w:hint="eastAsia"/>
          <w:b/>
          <w:sz w:val="24"/>
          <w:szCs w:val="24"/>
          <w:lang w:val="zh-CN"/>
        </w:rPr>
        <w:t>2010年一级建造师《建设工程经济》真题及答案</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一、单项选择题（共60题，每题1分。每题的备选项中，只有1个最符合题意）</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1．</w:t>
      </w:r>
      <w:proofErr w:type="gramStart"/>
      <w:r w:rsidRPr="002C156E">
        <w:rPr>
          <w:rFonts w:asciiTheme="minorEastAsia" w:eastAsiaTheme="minorEastAsia" w:hAnsiTheme="minorEastAsia" w:hint="eastAsia"/>
          <w:sz w:val="21"/>
          <w:szCs w:val="21"/>
          <w:lang w:val="zh-CN"/>
        </w:rPr>
        <w:t>甲施工</w:t>
      </w:r>
      <w:proofErr w:type="gramEnd"/>
      <w:r w:rsidRPr="002C156E">
        <w:rPr>
          <w:rFonts w:asciiTheme="minorEastAsia" w:eastAsiaTheme="minorEastAsia" w:hAnsiTheme="minorEastAsia" w:hint="eastAsia"/>
          <w:sz w:val="21"/>
          <w:szCs w:val="21"/>
          <w:lang w:val="zh-CN"/>
        </w:rPr>
        <w:t>企业年初向银行贷款流动资金200万元，按季计算并支付利息，季度利率1.5％，则</w:t>
      </w:r>
      <w:proofErr w:type="gramStart"/>
      <w:r w:rsidRPr="002C156E">
        <w:rPr>
          <w:rFonts w:asciiTheme="minorEastAsia" w:eastAsiaTheme="minorEastAsia" w:hAnsiTheme="minorEastAsia" w:hint="eastAsia"/>
          <w:sz w:val="21"/>
          <w:szCs w:val="21"/>
          <w:lang w:val="zh-CN"/>
        </w:rPr>
        <w:t>甲施工</w:t>
      </w:r>
      <w:proofErr w:type="gramEnd"/>
      <w:r w:rsidRPr="002C156E">
        <w:rPr>
          <w:rFonts w:asciiTheme="minorEastAsia" w:eastAsiaTheme="minorEastAsia" w:hAnsiTheme="minorEastAsia" w:hint="eastAsia"/>
          <w:sz w:val="21"/>
          <w:szCs w:val="21"/>
          <w:lang w:val="zh-CN"/>
        </w:rPr>
        <w:t>企业一年应支付的该项流动资金贷款利息为（ 　）万元。</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A．6.00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B．6.05</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C．12.00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D．12.27</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2．某人连续5年每年末存入银行20万元，银行年利率6%，按年复利计算，第5年年末一次性收回本金和利息，则到期可以回收的金额为（ 　）万元。</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A．104.80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B．106.00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C．107.49</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D．112.74</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3．年利率8％，按季度复利计息，则半年期实际利率为（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A．4.00%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B．4.04%</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C．4.07%</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D．4.12%</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4．对于完全由投资者自由资金投资的项目，确定基准收益率的基础是（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A．资金成本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B．通货膨胀</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C．投资机会成本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D．投资风险</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5．可用于评价项目财务盈利能力的绝对指标是（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A．价格临界点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B．财务净现值</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C．总投资收益率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D．敏感度系数</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6．某项目财务现金流量表的数据见表1，刚该项目的静态投资回收期为（ 　）年。</w:t>
      </w:r>
    </w:p>
    <w:tbl>
      <w:tblPr>
        <w:tblW w:w="0" w:type="auto"/>
        <w:jc w:val="center"/>
        <w:tblLayout w:type="fixed"/>
        <w:tblLook w:val="04A0" w:firstRow="1" w:lastRow="0" w:firstColumn="1" w:lastColumn="0" w:noHBand="0" w:noVBand="1"/>
      </w:tblPr>
      <w:tblGrid>
        <w:gridCol w:w="2130"/>
        <w:gridCol w:w="578"/>
        <w:gridCol w:w="677"/>
        <w:gridCol w:w="795"/>
        <w:gridCol w:w="794"/>
        <w:gridCol w:w="779"/>
        <w:gridCol w:w="780"/>
        <w:gridCol w:w="765"/>
        <w:gridCol w:w="779"/>
        <w:gridCol w:w="779"/>
      </w:tblGrid>
      <w:tr w:rsidR="002C156E" w:rsidRPr="002C156E" w:rsidTr="002C156E">
        <w:trPr>
          <w:jc w:val="center"/>
        </w:trPr>
        <w:tc>
          <w:tcPr>
            <w:tcW w:w="2130" w:type="dxa"/>
            <w:hideMark/>
          </w:tcPr>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计算期　</w:t>
            </w:r>
          </w:p>
        </w:tc>
        <w:tc>
          <w:tcPr>
            <w:tcW w:w="578"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0　</w:t>
            </w:r>
          </w:p>
        </w:tc>
        <w:tc>
          <w:tcPr>
            <w:tcW w:w="677"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1　</w:t>
            </w:r>
          </w:p>
        </w:tc>
        <w:tc>
          <w:tcPr>
            <w:tcW w:w="795"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2　</w:t>
            </w:r>
          </w:p>
        </w:tc>
        <w:tc>
          <w:tcPr>
            <w:tcW w:w="794"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3　</w:t>
            </w:r>
          </w:p>
        </w:tc>
        <w:tc>
          <w:tcPr>
            <w:tcW w:w="779"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4　</w:t>
            </w:r>
          </w:p>
        </w:tc>
        <w:tc>
          <w:tcPr>
            <w:tcW w:w="780"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5　</w:t>
            </w:r>
          </w:p>
        </w:tc>
        <w:tc>
          <w:tcPr>
            <w:tcW w:w="765"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6　</w:t>
            </w:r>
          </w:p>
        </w:tc>
        <w:tc>
          <w:tcPr>
            <w:tcW w:w="779"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7　</w:t>
            </w:r>
          </w:p>
        </w:tc>
        <w:tc>
          <w:tcPr>
            <w:tcW w:w="779"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8　</w:t>
            </w:r>
          </w:p>
        </w:tc>
      </w:tr>
      <w:tr w:rsidR="002C156E" w:rsidRPr="002C156E" w:rsidTr="002C156E">
        <w:trPr>
          <w:jc w:val="center"/>
        </w:trPr>
        <w:tc>
          <w:tcPr>
            <w:tcW w:w="2130"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净现金流量（万元）　</w:t>
            </w:r>
          </w:p>
        </w:tc>
        <w:tc>
          <w:tcPr>
            <w:tcW w:w="578"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　</w:t>
            </w:r>
          </w:p>
        </w:tc>
        <w:tc>
          <w:tcPr>
            <w:tcW w:w="677"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-800　</w:t>
            </w:r>
          </w:p>
        </w:tc>
        <w:tc>
          <w:tcPr>
            <w:tcW w:w="795"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-1000　</w:t>
            </w:r>
          </w:p>
        </w:tc>
        <w:tc>
          <w:tcPr>
            <w:tcW w:w="794"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400　</w:t>
            </w:r>
          </w:p>
        </w:tc>
        <w:tc>
          <w:tcPr>
            <w:tcW w:w="779"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600　</w:t>
            </w:r>
          </w:p>
        </w:tc>
        <w:tc>
          <w:tcPr>
            <w:tcW w:w="780"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600　</w:t>
            </w:r>
          </w:p>
        </w:tc>
        <w:tc>
          <w:tcPr>
            <w:tcW w:w="765"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600　</w:t>
            </w:r>
          </w:p>
        </w:tc>
        <w:tc>
          <w:tcPr>
            <w:tcW w:w="779"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600　</w:t>
            </w:r>
          </w:p>
        </w:tc>
        <w:tc>
          <w:tcPr>
            <w:tcW w:w="779"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600　</w:t>
            </w:r>
          </w:p>
        </w:tc>
      </w:tr>
      <w:tr w:rsidR="002C156E" w:rsidRPr="002C156E" w:rsidTr="002C156E">
        <w:trPr>
          <w:jc w:val="center"/>
        </w:trPr>
        <w:tc>
          <w:tcPr>
            <w:tcW w:w="2130"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累计净现金流量（万元）　</w:t>
            </w:r>
          </w:p>
        </w:tc>
        <w:tc>
          <w:tcPr>
            <w:tcW w:w="578"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　</w:t>
            </w:r>
          </w:p>
        </w:tc>
        <w:tc>
          <w:tcPr>
            <w:tcW w:w="677"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-800　</w:t>
            </w:r>
          </w:p>
        </w:tc>
        <w:tc>
          <w:tcPr>
            <w:tcW w:w="795"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-1800　</w:t>
            </w:r>
          </w:p>
        </w:tc>
        <w:tc>
          <w:tcPr>
            <w:tcW w:w="794"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-1400　</w:t>
            </w:r>
          </w:p>
        </w:tc>
        <w:tc>
          <w:tcPr>
            <w:tcW w:w="779"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-800　</w:t>
            </w:r>
          </w:p>
        </w:tc>
        <w:tc>
          <w:tcPr>
            <w:tcW w:w="780"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-200　</w:t>
            </w:r>
          </w:p>
        </w:tc>
        <w:tc>
          <w:tcPr>
            <w:tcW w:w="765"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400　</w:t>
            </w:r>
          </w:p>
        </w:tc>
        <w:tc>
          <w:tcPr>
            <w:tcW w:w="779"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1000　</w:t>
            </w:r>
          </w:p>
        </w:tc>
        <w:tc>
          <w:tcPr>
            <w:tcW w:w="779"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1600　</w:t>
            </w:r>
          </w:p>
        </w:tc>
      </w:tr>
    </w:tbl>
    <w:p w:rsidR="002C156E" w:rsidRPr="002C156E" w:rsidRDefault="002C156E" w:rsidP="002C156E">
      <w:pPr>
        <w:rPr>
          <w:rFonts w:asciiTheme="minorEastAsia" w:eastAsiaTheme="minorEastAsia" w:hAnsiTheme="minorEastAsia" w:cs="Times New Roman"/>
          <w:kern w:val="2"/>
          <w:sz w:val="21"/>
          <w:szCs w:val="21"/>
          <w:lang w:val="zh-CN"/>
        </w:rPr>
      </w:pP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　　A．5.33</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B．5.67</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C．6.33</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D．6.67</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7．某工业项目建设投资额8250万元（不含建设</w:t>
      </w:r>
      <w:proofErr w:type="gramStart"/>
      <w:r w:rsidRPr="002C156E">
        <w:rPr>
          <w:rFonts w:asciiTheme="minorEastAsia" w:eastAsiaTheme="minorEastAsia" w:hAnsiTheme="minorEastAsia" w:hint="eastAsia"/>
          <w:sz w:val="21"/>
          <w:szCs w:val="21"/>
          <w:lang w:val="zh-CN"/>
        </w:rPr>
        <w:t>期贷</w:t>
      </w:r>
      <w:proofErr w:type="gramEnd"/>
      <w:r w:rsidRPr="002C156E">
        <w:rPr>
          <w:rFonts w:asciiTheme="minorEastAsia" w:eastAsiaTheme="minorEastAsia" w:hAnsiTheme="minorEastAsia" w:hint="eastAsia"/>
          <w:sz w:val="21"/>
          <w:szCs w:val="21"/>
          <w:lang w:val="zh-CN"/>
        </w:rPr>
        <w:t>款利息），建设</w:t>
      </w:r>
      <w:proofErr w:type="gramStart"/>
      <w:r w:rsidRPr="002C156E">
        <w:rPr>
          <w:rFonts w:asciiTheme="minorEastAsia" w:eastAsiaTheme="minorEastAsia" w:hAnsiTheme="minorEastAsia" w:hint="eastAsia"/>
          <w:sz w:val="21"/>
          <w:szCs w:val="21"/>
          <w:lang w:val="zh-CN"/>
        </w:rPr>
        <w:t>期贷</w:t>
      </w:r>
      <w:proofErr w:type="gramEnd"/>
      <w:r w:rsidRPr="002C156E">
        <w:rPr>
          <w:rFonts w:asciiTheme="minorEastAsia" w:eastAsiaTheme="minorEastAsia" w:hAnsiTheme="minorEastAsia" w:hint="eastAsia"/>
          <w:sz w:val="21"/>
          <w:szCs w:val="21"/>
          <w:lang w:val="zh-CN"/>
        </w:rPr>
        <w:t>款利息为1200万元，全部流动资金700万元，项目投产后正常年份的息税前利润500万元，则该项目的总投资收益率为（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A．5.22%</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B．5.67%</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C．5.64%</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D．6.67%</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8．根据《企业会计准则》，施工企业在签订合同时发生的差旅费以及投标费用应在发生时确认为（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A．直接费用</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B．期间费用</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C．间接费用</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D．工程成本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9．某建设项目，建设期为两年，其向银行贷款1000万元，贷款时间和额度为第一年400万元，第二年600万元，贷款年利率6%，建设期不支付利息，则编制该项目投资结算时，建设期利息为（ 　）万元。</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A．12.00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B．120.00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C．54.72</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D．42.72</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10．施工图预算审查时，将分部分项工程的单位建筑面积指标总结归纳为工程量、价格、用工三个单方基本指标，然后利用这些基本指标对拟建项目分部分项工程预算进行审查的方法称为（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A．筛选审查法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B．对比审查法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C．分组计算审查法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D．逐项审查法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11．施工企业为职工缴纳危险作业意外伤害保险发生的费用应计入（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A．措施费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w:t>
      </w:r>
      <w:proofErr w:type="gramStart"/>
      <w:r w:rsidRPr="002C156E">
        <w:rPr>
          <w:rFonts w:asciiTheme="minorEastAsia" w:eastAsiaTheme="minorEastAsia" w:hAnsiTheme="minorEastAsia" w:hint="eastAsia"/>
          <w:sz w:val="21"/>
          <w:szCs w:val="21"/>
          <w:lang w:val="zh-CN"/>
        </w:rPr>
        <w:t>规</w:t>
      </w:r>
      <w:proofErr w:type="gramEnd"/>
      <w:r w:rsidRPr="002C156E">
        <w:rPr>
          <w:rFonts w:asciiTheme="minorEastAsia" w:eastAsiaTheme="minorEastAsia" w:hAnsiTheme="minorEastAsia" w:hint="eastAsia"/>
          <w:sz w:val="21"/>
          <w:szCs w:val="21"/>
          <w:lang w:val="zh-CN"/>
        </w:rPr>
        <w:t>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C．企业管理费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D．人工费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12．根据《建设工程工程量清单计价规范》（50500-2008），分部分项工程量清单中所列工程量以形成工程实体为准，按（ 　）计算。</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A．施工方案计算出来的数值</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B．实际完成的全部工程量</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C．工程完成后的净值</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D．工程实体量与耗损量之</w:t>
      </w:r>
      <w:proofErr w:type="gramStart"/>
      <w:r w:rsidRPr="002C156E">
        <w:rPr>
          <w:rFonts w:asciiTheme="minorEastAsia" w:eastAsiaTheme="minorEastAsia" w:hAnsiTheme="minorEastAsia" w:hint="eastAsia"/>
          <w:sz w:val="21"/>
          <w:szCs w:val="21"/>
          <w:lang w:val="zh-CN"/>
        </w:rPr>
        <w:t>和</w:t>
      </w:r>
      <w:proofErr w:type="gramEnd"/>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13．某施工企业购入一台施工机械，原价60000元，预计残值率3%，使用年限8年，按平均年限法计提折旧，该设备每年应计提的折旧额为（ 　）元。</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A．5820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B．7275</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C．6000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D．7500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14．商业银行体系能够创造出来的货币的多少，取决于（ 　）的大小。</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A．存款利率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B．贴现率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C．法定准备金</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D．贷款利率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15．某拟建项目的设备投资占总投资的60%以上，拟采用的主要</w:t>
      </w:r>
      <w:r w:rsidRPr="002C156E">
        <w:rPr>
          <w:rFonts w:asciiTheme="minorEastAsia" w:eastAsiaTheme="minorEastAsia" w:hAnsiTheme="minorEastAsia" w:hint="eastAsia"/>
          <w:color w:val="000000"/>
          <w:sz w:val="21"/>
          <w:szCs w:val="21"/>
          <w:lang w:val="zh-CN"/>
        </w:rPr>
        <w:t>工艺</w:t>
      </w:r>
      <w:r w:rsidRPr="002C156E">
        <w:rPr>
          <w:rFonts w:asciiTheme="minorEastAsia" w:eastAsiaTheme="minorEastAsia" w:hAnsiTheme="minorEastAsia" w:cs="微软雅黑" w:hint="eastAsia"/>
          <w:sz w:val="21"/>
          <w:szCs w:val="21"/>
          <w:lang w:val="zh-CN"/>
        </w:rPr>
        <w:t>设备已经明确，则编制该项目投资估算进度较高的方法是（</w:t>
      </w:r>
      <w:r w:rsidRPr="002C156E">
        <w:rPr>
          <w:rFonts w:asciiTheme="minorEastAsia" w:eastAsiaTheme="minorEastAsia" w:hAnsiTheme="minorEastAsia"/>
          <w:sz w:val="21"/>
          <w:szCs w:val="21"/>
          <w:lang w:val="zh-CN"/>
        </w:rPr>
        <w:t xml:space="preserve"> </w:t>
      </w:r>
      <w:r w:rsidRPr="002C156E">
        <w:rPr>
          <w:rFonts w:asciiTheme="minorEastAsia" w:eastAsiaTheme="minorEastAsia" w:hAnsiTheme="minorEastAsia" w:cs="微软雅黑" w:hint="eastAsia"/>
          <w:sz w:val="21"/>
          <w:szCs w:val="21"/>
          <w:lang w:val="zh-CN"/>
        </w:rPr>
        <w:t xml:space="preserve">　）</w:t>
      </w:r>
      <w:r w:rsidRPr="002C156E">
        <w:rPr>
          <w:rFonts w:asciiTheme="minorEastAsia" w:eastAsiaTheme="minorEastAsia" w:hAnsiTheme="minorEastAsia" w:cs="宋体" w:hint="eastAsia"/>
          <w:sz w:val="21"/>
          <w:szCs w:val="21"/>
          <w:lang w:val="zh-CN"/>
        </w:rPr>
        <w:t>。</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cs="微软雅黑" w:hint="eastAsia"/>
          <w:sz w:val="21"/>
          <w:szCs w:val="21"/>
          <w:lang w:val="zh-CN"/>
        </w:rPr>
        <w:t xml:space="preserve">　　</w:t>
      </w:r>
      <w:r w:rsidRPr="002C156E">
        <w:rPr>
          <w:rFonts w:asciiTheme="minorEastAsia" w:eastAsiaTheme="minorEastAsia" w:hAnsiTheme="minorEastAsia"/>
          <w:sz w:val="21"/>
          <w:szCs w:val="21"/>
          <w:lang w:val="zh-CN"/>
        </w:rPr>
        <w:t>A</w:t>
      </w:r>
      <w:r w:rsidRPr="002C156E">
        <w:rPr>
          <w:rFonts w:asciiTheme="minorEastAsia" w:eastAsiaTheme="minorEastAsia" w:hAnsiTheme="minorEastAsia" w:cs="微软雅黑" w:hint="eastAsia"/>
          <w:sz w:val="21"/>
          <w:szCs w:val="21"/>
          <w:lang w:val="zh-CN"/>
        </w:rPr>
        <w:t>．指标估算</w:t>
      </w:r>
      <w:r w:rsidRPr="002C156E">
        <w:rPr>
          <w:rFonts w:asciiTheme="minorEastAsia" w:eastAsiaTheme="minorEastAsia" w:hAnsiTheme="minorEastAsia" w:cs="宋体" w:hint="eastAsia"/>
          <w:sz w:val="21"/>
          <w:szCs w:val="21"/>
          <w:lang w:val="zh-CN"/>
        </w:rPr>
        <w:t>法</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cs="微软雅黑" w:hint="eastAsia"/>
          <w:sz w:val="21"/>
          <w:szCs w:val="21"/>
          <w:lang w:val="zh-CN"/>
        </w:rPr>
        <w:t xml:space="preserve">　　</w:t>
      </w:r>
      <w:r w:rsidRPr="002C156E">
        <w:rPr>
          <w:rFonts w:asciiTheme="minorEastAsia" w:eastAsiaTheme="minorEastAsia" w:hAnsiTheme="minorEastAsia"/>
          <w:sz w:val="21"/>
          <w:szCs w:val="21"/>
          <w:lang w:val="zh-CN"/>
        </w:rPr>
        <w:t>B</w:t>
      </w:r>
      <w:r w:rsidRPr="002C156E">
        <w:rPr>
          <w:rFonts w:asciiTheme="minorEastAsia" w:eastAsiaTheme="minorEastAsia" w:hAnsiTheme="minorEastAsia" w:cs="微软雅黑" w:hint="eastAsia"/>
          <w:sz w:val="21"/>
          <w:szCs w:val="21"/>
          <w:lang w:val="zh-CN"/>
        </w:rPr>
        <w:t>．比例估算</w:t>
      </w:r>
      <w:r w:rsidRPr="002C156E">
        <w:rPr>
          <w:rFonts w:asciiTheme="minorEastAsia" w:eastAsiaTheme="minorEastAsia" w:hAnsiTheme="minorEastAsia" w:cs="宋体" w:hint="eastAsia"/>
          <w:sz w:val="21"/>
          <w:szCs w:val="21"/>
          <w:lang w:val="zh-CN"/>
        </w:rPr>
        <w:t>法</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cs="微软雅黑" w:hint="eastAsia"/>
          <w:sz w:val="21"/>
          <w:szCs w:val="21"/>
          <w:lang w:val="zh-CN"/>
        </w:rPr>
        <w:t xml:space="preserve">　　</w:t>
      </w:r>
      <w:r w:rsidRPr="002C156E">
        <w:rPr>
          <w:rFonts w:asciiTheme="minorEastAsia" w:eastAsiaTheme="minorEastAsia" w:hAnsiTheme="minorEastAsia"/>
          <w:sz w:val="21"/>
          <w:szCs w:val="21"/>
          <w:lang w:val="zh-CN"/>
        </w:rPr>
        <w:t>C</w:t>
      </w:r>
      <w:r w:rsidRPr="002C156E">
        <w:rPr>
          <w:rFonts w:asciiTheme="minorEastAsia" w:eastAsiaTheme="minorEastAsia" w:hAnsiTheme="minorEastAsia" w:cs="微软雅黑" w:hint="eastAsia"/>
          <w:sz w:val="21"/>
          <w:szCs w:val="21"/>
          <w:lang w:val="zh-CN"/>
        </w:rPr>
        <w:t>．资金周转</w:t>
      </w:r>
      <w:r w:rsidRPr="002C156E">
        <w:rPr>
          <w:rFonts w:asciiTheme="minorEastAsia" w:eastAsiaTheme="minorEastAsia" w:hAnsiTheme="minorEastAsia" w:cs="宋体" w:hint="eastAsia"/>
          <w:sz w:val="21"/>
          <w:szCs w:val="21"/>
          <w:lang w:val="zh-CN"/>
        </w:rPr>
        <w:t>法</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cs="微软雅黑" w:hint="eastAsia"/>
          <w:sz w:val="21"/>
          <w:szCs w:val="21"/>
          <w:lang w:val="zh-CN"/>
        </w:rPr>
        <w:t xml:space="preserve">　　</w:t>
      </w:r>
      <w:r w:rsidRPr="002C156E">
        <w:rPr>
          <w:rFonts w:asciiTheme="minorEastAsia" w:eastAsiaTheme="minorEastAsia" w:hAnsiTheme="minorEastAsia"/>
          <w:sz w:val="21"/>
          <w:szCs w:val="21"/>
          <w:lang w:val="zh-CN"/>
        </w:rPr>
        <w:t>D</w:t>
      </w:r>
      <w:r w:rsidRPr="002C156E">
        <w:rPr>
          <w:rFonts w:asciiTheme="minorEastAsia" w:eastAsiaTheme="minorEastAsia" w:hAnsiTheme="minorEastAsia" w:cs="微软雅黑" w:hint="eastAsia"/>
          <w:sz w:val="21"/>
          <w:szCs w:val="21"/>
          <w:lang w:val="zh-CN"/>
        </w:rPr>
        <w:t>．生产能力指数</w:t>
      </w:r>
      <w:r w:rsidRPr="002C156E">
        <w:rPr>
          <w:rFonts w:asciiTheme="minorEastAsia" w:eastAsiaTheme="minorEastAsia" w:hAnsiTheme="minorEastAsia" w:cs="宋体" w:hint="eastAsia"/>
          <w:sz w:val="21"/>
          <w:szCs w:val="21"/>
          <w:lang w:val="zh-CN"/>
        </w:rPr>
        <w:t>法</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cs="微软雅黑" w:hint="eastAsia"/>
          <w:sz w:val="21"/>
          <w:szCs w:val="21"/>
          <w:lang w:val="zh-CN"/>
        </w:rPr>
        <w:t xml:space="preserve">　　【参考答案】</w:t>
      </w:r>
      <w:r w:rsidRPr="002C156E">
        <w:rPr>
          <w:rFonts w:asciiTheme="minorEastAsia" w:eastAsiaTheme="minorEastAsia" w:hAnsiTheme="minorEastAsia"/>
          <w:sz w:val="21"/>
          <w:szCs w:val="21"/>
          <w:lang w:val="zh-CN"/>
        </w:rPr>
        <w:t>B</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　　16．下列会计要素中，属于流动负债的是（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A．短期投资</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B．预付账款</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C．应付账款</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D．应付债券</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17．在传统计价模式下，编制施工图预算的要素价格是根据（ 　）确定的。</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A．企业定额</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B．市场价格</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C．要素信息价</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D．预算定额</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18．某化工建设项目设计年生产能力5万吨，预计</w:t>
      </w:r>
      <w:proofErr w:type="gramStart"/>
      <w:r w:rsidRPr="002C156E">
        <w:rPr>
          <w:rFonts w:asciiTheme="minorEastAsia" w:eastAsiaTheme="minorEastAsia" w:hAnsiTheme="minorEastAsia" w:hint="eastAsia"/>
          <w:sz w:val="21"/>
          <w:szCs w:val="21"/>
          <w:lang w:val="zh-CN"/>
        </w:rPr>
        <w:t>年固定总</w:t>
      </w:r>
      <w:proofErr w:type="gramEnd"/>
      <w:r w:rsidRPr="002C156E">
        <w:rPr>
          <w:rFonts w:asciiTheme="minorEastAsia" w:eastAsiaTheme="minorEastAsia" w:hAnsiTheme="minorEastAsia" w:hint="eastAsia"/>
          <w:sz w:val="21"/>
          <w:szCs w:val="21"/>
          <w:lang w:val="zh-CN"/>
        </w:rPr>
        <w:t>成本为800万元，产品销售价格1500元/吨，产品销售税金及附加为销售收入的10%，产品变动成本1150元/吨，则该项目用生产能力利用率表示的盈亏平衡点是（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A．100%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B．40%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C．80%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D．55%</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19．根据《企业会计准则》，施工企业发生的固定资产日常修理费应作为（ 　）予以确认。</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A．当期费用</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B．待摊费用</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C．直接费用</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D．维持运营投资</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20．根据《企业会计准则第30号-财务报表列报》，在编制财务报表时，主要项目应单独列报，项目的重要性应当根据企业所处环境，从（ 　）加以判断。</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A．报表是否对外公告角度</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B．企业是否上市角度</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C．项目在财务报告中的排列位置</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D．项目的性质和金额两个方面</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21．在财务评价中，应计入经营成本的费用是（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A．折旧费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B．摊销费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C．利息支出</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D．修理费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22．施工企业从建设单位取得工程预付款，属于企业筹资方式中的（ 　）筹资。</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A．融资租赁</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B．短期借口</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C．长期借款</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D．商业信用</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23．某建筑工程直接工程费200万元，措施费为直接工程费的55%，间接费费率8%，利润率10%，综合计税系数3.41%，以直接费为基础计算建设安装工程造价，则该工程含税总造价为（ 　）万元。</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A．256</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B．258</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C．257</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D．248</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24．某建设项目投资规模较大，土建部分工程量较小，从国外引进的可对该项目概算进行审查最适合的方法是（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A．联合会审法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B．查询核实法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C．分组计算审查法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D．对比分析法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25．根据《国务院关于投资体制改革的决定》（国发[2004]20号），对于政府投资项目或使用政府资金，国际金融组织和外国政府贷款投资建设的项目实行（　）制度。</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A．备案制</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B．审批制</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C．报告制</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D．核准制</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26.产品的寿命周期成本由产品生产成本和（ 　）组成。</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A．使用及维护成本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B．使用成本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C．生产前准备成本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D．资金成本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27．施工定额研究的对象是（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A．工序</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B．整个建筑物</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C．扩大的分部分项工程</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D．分部分项工程</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28．某单位建筑工程初步设计已达到一定深度，建筑结构明确，能够计算出概算工程量，则编制该单位建筑工程概算最适合的方法是（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A．类似工程预算法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B．概算预算法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C．概算定额法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D．生产能力指数法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29．根据《建设工程工程量清单计价规范》（GB 50500-2008），工程量清单应由（ 　）编制。</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A．招投标管理部门认可的代理机构</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B．具有相应资质的工程造价咨询人</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C．具有招标代理资质的中介机构</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D．项目管理公司合同管理机构</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30．借贷记账法记账规则中，“借贷必相等”的含义是指将一笔经济业务在账户中登记时，（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A．两个或两个以上账户中的借方金额之和与贷方金额之和必须相等</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B．一个账户的借方金额必然等于另一个账户的贷方金额</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C．两个或两个以上账户中的借方金额与贷方金额之和必须等于经济业务的价值</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D．两个或两个以上账户中的借方金额与贷方金额之差必须等于经济业务的价值</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31．某施工企业以1000万元买入一块土地的使用权，准备建设自用办公大楼，该块土地使用权应作为企业的（ 　）核算。</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A．其他资产</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B．流动资产</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C．投资性资产</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D．无形资产</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32．设备经济寿命是指设备从投入使用开始，到（ 　）而被更新所经历的时间。</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A．加工精度下降导致产品质量不合格</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B．运行经济效益开始下降</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C．继续使用在经济上不合理</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D．因磨损严重而无法正常运行</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33．计入建筑安装工程造价的教育费附加的计算基础是（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A．应纳营业税额和城市维护建设税之</w:t>
      </w:r>
      <w:proofErr w:type="gramStart"/>
      <w:r w:rsidRPr="002C156E">
        <w:rPr>
          <w:rFonts w:asciiTheme="minorEastAsia" w:eastAsiaTheme="minorEastAsia" w:hAnsiTheme="minorEastAsia" w:hint="eastAsia"/>
          <w:sz w:val="21"/>
          <w:szCs w:val="21"/>
          <w:lang w:val="zh-CN"/>
        </w:rPr>
        <w:t>和</w:t>
      </w:r>
      <w:proofErr w:type="gramEnd"/>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B．建筑安装工程直接工程费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C．建造合同收入</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D．应纳营业税额</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34．工程量清单作为招标文件的组成部分，其完整性和准确性应由（ 　）负责。</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A．监理人</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B．招标人</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C．招投标管理部门</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D．投标人</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35．在我国，投资估算是指在（ 　）阶段对项目投资所作的预估算。</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A．施工图设计</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B．施工准备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C．项目决策</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D．初步设计</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36．项目竣工验收前，施工企业对已完工程进行保护发生的费用应计入（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A．措施费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B．</w:t>
      </w:r>
      <w:proofErr w:type="gramStart"/>
      <w:r w:rsidRPr="002C156E">
        <w:rPr>
          <w:rFonts w:asciiTheme="minorEastAsia" w:eastAsiaTheme="minorEastAsia" w:hAnsiTheme="minorEastAsia" w:hint="eastAsia"/>
          <w:sz w:val="21"/>
          <w:szCs w:val="21"/>
          <w:lang w:val="zh-CN"/>
        </w:rPr>
        <w:t>规</w:t>
      </w:r>
      <w:proofErr w:type="gramEnd"/>
      <w:r w:rsidRPr="002C156E">
        <w:rPr>
          <w:rFonts w:asciiTheme="minorEastAsia" w:eastAsiaTheme="minorEastAsia" w:hAnsiTheme="minorEastAsia" w:hint="eastAsia"/>
          <w:sz w:val="21"/>
          <w:szCs w:val="21"/>
          <w:lang w:val="zh-CN"/>
        </w:rPr>
        <w:t>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C．直接工程费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D．企业管理费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37．设计概算是设计单位编制和确定的建设工程项目从筹建至（ 　）所需全部费用的文件。</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A．竣工交付使用</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B．办理完竣工决算</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C．项目报废</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D．施工保修期满</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38．反映企业一定经营期间经营成果的会计等式是（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A．资产=收入+所有者权益</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B．收入-费用=利润（或亏损）</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C．资产=负债+所有者权益</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D．收入-负债=利润（或亏损）</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39．应作为价值工程优先改进对像的是（ 　）</w:t>
      </w:r>
    </w:p>
    <w:tbl>
      <w:tblPr>
        <w:tblW w:w="0" w:type="auto"/>
        <w:jc w:val="center"/>
        <w:tblLayout w:type="fixed"/>
        <w:tblLook w:val="04A0" w:firstRow="1" w:lastRow="0" w:firstColumn="1" w:lastColumn="0" w:noHBand="0" w:noVBand="1"/>
      </w:tblPr>
      <w:tblGrid>
        <w:gridCol w:w="1772"/>
        <w:gridCol w:w="1771"/>
        <w:gridCol w:w="1772"/>
        <w:gridCol w:w="1770"/>
        <w:gridCol w:w="1771"/>
      </w:tblGrid>
      <w:tr w:rsidR="002C156E" w:rsidRPr="002C156E" w:rsidTr="002C156E">
        <w:trPr>
          <w:jc w:val="center"/>
        </w:trPr>
        <w:tc>
          <w:tcPr>
            <w:tcW w:w="1772" w:type="dxa"/>
            <w:hideMark/>
          </w:tcPr>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w:t>
            </w:r>
          </w:p>
        </w:tc>
        <w:tc>
          <w:tcPr>
            <w:tcW w:w="1771"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甲　</w:t>
            </w:r>
          </w:p>
        </w:tc>
        <w:tc>
          <w:tcPr>
            <w:tcW w:w="1772"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乙　</w:t>
            </w:r>
          </w:p>
        </w:tc>
        <w:tc>
          <w:tcPr>
            <w:tcW w:w="1770"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丙　</w:t>
            </w:r>
          </w:p>
        </w:tc>
        <w:tc>
          <w:tcPr>
            <w:tcW w:w="1771"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丁　</w:t>
            </w:r>
          </w:p>
        </w:tc>
      </w:tr>
      <w:tr w:rsidR="002C156E" w:rsidRPr="002C156E" w:rsidTr="002C156E">
        <w:trPr>
          <w:jc w:val="center"/>
        </w:trPr>
        <w:tc>
          <w:tcPr>
            <w:tcW w:w="1772"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现实成本（元）　</w:t>
            </w:r>
          </w:p>
        </w:tc>
        <w:tc>
          <w:tcPr>
            <w:tcW w:w="1771"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1100　</w:t>
            </w:r>
          </w:p>
        </w:tc>
        <w:tc>
          <w:tcPr>
            <w:tcW w:w="1772"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2350　</w:t>
            </w:r>
          </w:p>
        </w:tc>
        <w:tc>
          <w:tcPr>
            <w:tcW w:w="1770"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　　</w:t>
            </w:r>
          </w:p>
        </w:tc>
        <w:tc>
          <w:tcPr>
            <w:tcW w:w="1771"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　　</w:t>
            </w:r>
          </w:p>
        </w:tc>
      </w:tr>
      <w:tr w:rsidR="002C156E" w:rsidRPr="002C156E" w:rsidTr="002C156E">
        <w:trPr>
          <w:jc w:val="center"/>
        </w:trPr>
        <w:tc>
          <w:tcPr>
            <w:tcW w:w="1772"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目标成本（元）　</w:t>
            </w:r>
          </w:p>
        </w:tc>
        <w:tc>
          <w:tcPr>
            <w:tcW w:w="1771"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1000　</w:t>
            </w:r>
          </w:p>
        </w:tc>
        <w:tc>
          <w:tcPr>
            <w:tcW w:w="1772"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2000　</w:t>
            </w:r>
          </w:p>
        </w:tc>
        <w:tc>
          <w:tcPr>
            <w:tcW w:w="1770"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　　</w:t>
            </w:r>
          </w:p>
        </w:tc>
        <w:tc>
          <w:tcPr>
            <w:tcW w:w="1771"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　　</w:t>
            </w:r>
          </w:p>
        </w:tc>
      </w:tr>
      <w:tr w:rsidR="002C156E" w:rsidRPr="002C156E" w:rsidTr="002C156E">
        <w:trPr>
          <w:jc w:val="center"/>
        </w:trPr>
        <w:tc>
          <w:tcPr>
            <w:tcW w:w="1772"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功能价值　</w:t>
            </w:r>
          </w:p>
        </w:tc>
        <w:tc>
          <w:tcPr>
            <w:tcW w:w="1771"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0.909　</w:t>
            </w:r>
          </w:p>
        </w:tc>
        <w:tc>
          <w:tcPr>
            <w:tcW w:w="1772"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0.831　</w:t>
            </w:r>
          </w:p>
        </w:tc>
        <w:tc>
          <w:tcPr>
            <w:tcW w:w="1770"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1.089　</w:t>
            </w:r>
          </w:p>
        </w:tc>
        <w:tc>
          <w:tcPr>
            <w:tcW w:w="1771" w:type="dxa"/>
            <w:hideMark/>
          </w:tcPr>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0.921　</w:t>
            </w:r>
          </w:p>
        </w:tc>
      </w:tr>
    </w:tbl>
    <w:p w:rsidR="002C156E" w:rsidRPr="002C156E" w:rsidRDefault="002C156E" w:rsidP="002C156E">
      <w:pPr>
        <w:rPr>
          <w:rFonts w:asciiTheme="minorEastAsia" w:eastAsiaTheme="minorEastAsia" w:hAnsiTheme="minorEastAsia" w:cs="Times New Roman"/>
          <w:kern w:val="2"/>
          <w:sz w:val="21"/>
          <w:szCs w:val="21"/>
          <w:lang w:val="zh-CN"/>
        </w:rPr>
      </w:pP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　　A．丙</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B．丁</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C．甲</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D．乙</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40．根据国务院颁发的《现金管理暂行条例》，下列业务不能使用现金支付的是（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A．企业支付材料供应商货款3000元</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B．支付个人劳务报酬4000元</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C．向职工发放工资50000元</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D．出差人员随身携带差旅费800元</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41．某施工企业拟租赁一台施工机械，已知该施工机械的价格为72万元，租期为7年，每年末支付租金，租金按附加率法计算，折现率为10%，附加率为4%，则每年应付租金为（ 　）万元。</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A．13.44</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B．20.37</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C．12.27</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D．14.79</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42．项目财务计划现金流量表主要用于分析项目的（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A．偿债能力</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B．财务生存能力</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C．财务盈利能力</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D．不确定性</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43．杜邦财务分析体系中的核心指标是（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A．销售净利率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B．净资产收益率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C．总资产报酬率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D．总资产周转率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44．某建设项目设备及工器具购置费为600万元，建筑安装工程费为1200万元，工程建设其他费为100万元，建设期两年，建设期内预计年平均价格总水平上涨率为5%，则该项目的涨价预备费的计算基数应为（ 　）万元。</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A．1900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B．1200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C．700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D．1800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45．下列建设投资中，属于项目静态投资的是（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A．基本预备费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B．建设期间新增税费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C．涨价预备费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D．建设期利息</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46.</w:t>
      </w:r>
      <w:proofErr w:type="gramStart"/>
      <w:r w:rsidRPr="002C156E">
        <w:rPr>
          <w:rFonts w:asciiTheme="minorEastAsia" w:eastAsiaTheme="minorEastAsia" w:hAnsiTheme="minorEastAsia" w:hint="eastAsia"/>
          <w:sz w:val="21"/>
          <w:szCs w:val="21"/>
          <w:lang w:val="zh-CN"/>
        </w:rPr>
        <w:t>某斗容量</w:t>
      </w:r>
      <w:proofErr w:type="gramEnd"/>
      <w:r w:rsidRPr="002C156E">
        <w:rPr>
          <w:rFonts w:asciiTheme="minorEastAsia" w:eastAsiaTheme="minorEastAsia" w:hAnsiTheme="minorEastAsia" w:hint="eastAsia"/>
          <w:sz w:val="21"/>
          <w:szCs w:val="21"/>
          <w:lang w:val="zh-CN"/>
        </w:rPr>
        <w:t>1m</w:t>
      </w:r>
      <w:r w:rsidRPr="002C156E">
        <w:rPr>
          <w:rFonts w:asciiTheme="minorEastAsia" w:eastAsiaTheme="minorEastAsia" w:hAnsiTheme="minorEastAsia" w:hint="eastAsia"/>
          <w:position w:val="5"/>
          <w:sz w:val="21"/>
          <w:szCs w:val="21"/>
          <w:vertAlign w:val="superscript"/>
          <w:lang w:val="zh-CN"/>
        </w:rPr>
        <w:t>3</w:t>
      </w:r>
      <w:r w:rsidRPr="002C156E">
        <w:rPr>
          <w:rFonts w:asciiTheme="minorEastAsia" w:eastAsiaTheme="minorEastAsia" w:hAnsiTheme="minorEastAsia" w:hint="eastAsia"/>
          <w:sz w:val="21"/>
          <w:szCs w:val="21"/>
          <w:lang w:val="zh-CN"/>
        </w:rPr>
        <w:t>正铲挖土机的机械台班产量为4.96（定额单位100m</w:t>
      </w:r>
      <w:r w:rsidRPr="002C156E">
        <w:rPr>
          <w:rFonts w:asciiTheme="minorEastAsia" w:eastAsiaTheme="minorEastAsia" w:hAnsiTheme="minorEastAsia" w:hint="eastAsia"/>
          <w:position w:val="5"/>
          <w:sz w:val="21"/>
          <w:szCs w:val="21"/>
          <w:vertAlign w:val="superscript"/>
          <w:lang w:val="zh-CN"/>
        </w:rPr>
        <w:t>3</w:t>
      </w:r>
      <w:r w:rsidRPr="002C156E">
        <w:rPr>
          <w:rFonts w:asciiTheme="minorEastAsia" w:eastAsiaTheme="minorEastAsia" w:hAnsiTheme="minorEastAsia" w:hint="eastAsia"/>
          <w:sz w:val="21"/>
          <w:szCs w:val="21"/>
          <w:lang w:val="zh-CN"/>
        </w:rPr>
        <w:t>），小组成员两人，则挖100m</w:t>
      </w:r>
      <w:r w:rsidRPr="002C156E">
        <w:rPr>
          <w:rFonts w:asciiTheme="minorEastAsia" w:eastAsiaTheme="minorEastAsia" w:hAnsiTheme="minorEastAsia" w:hint="eastAsia"/>
          <w:position w:val="5"/>
          <w:sz w:val="21"/>
          <w:szCs w:val="21"/>
          <w:vertAlign w:val="superscript"/>
          <w:lang w:val="zh-CN"/>
        </w:rPr>
        <w:t>3</w:t>
      </w:r>
      <w:r w:rsidRPr="002C156E">
        <w:rPr>
          <w:rFonts w:asciiTheme="minorEastAsia" w:eastAsiaTheme="minorEastAsia" w:hAnsiTheme="minorEastAsia" w:hint="eastAsia"/>
          <w:sz w:val="21"/>
          <w:szCs w:val="21"/>
          <w:lang w:val="zh-CN"/>
        </w:rPr>
        <w:t>土的人工时间定额为（ 　）工作日。</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A.0.40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B.0.20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C.2.48</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D.4.96</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47．国际工程投标报价中，暂定金额的处理方式是（ 　）决定其用途。</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A．计入承包商工程总报价，由承包商</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B．不计入承包商工程总报价，由项目设计方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C．不计入承包商工程总报价，由业主工程师</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D．计入承包商工程总报价，由业主工程师</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48．企业存货的总成本是存货的取得成本、储存成本和（ 　）之</w:t>
      </w:r>
      <w:proofErr w:type="gramStart"/>
      <w:r w:rsidRPr="002C156E">
        <w:rPr>
          <w:rFonts w:asciiTheme="minorEastAsia" w:eastAsiaTheme="minorEastAsia" w:hAnsiTheme="minorEastAsia" w:hint="eastAsia"/>
          <w:sz w:val="21"/>
          <w:szCs w:val="21"/>
          <w:lang w:val="zh-CN"/>
        </w:rPr>
        <w:t>和</w:t>
      </w:r>
      <w:proofErr w:type="gramEnd"/>
      <w:r w:rsidRPr="002C156E">
        <w:rPr>
          <w:rFonts w:asciiTheme="minorEastAsia" w:eastAsiaTheme="minorEastAsia" w:hAnsiTheme="minorEastAsia" w:hint="eastAsia"/>
          <w:sz w:val="21"/>
          <w:szCs w:val="21"/>
          <w:lang w:val="zh-CN"/>
        </w:rPr>
        <w:t>。</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A．购置成本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B．存货保险税费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C．订货成本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D．缺货成本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49．</w:t>
      </w:r>
      <w:proofErr w:type="gramStart"/>
      <w:r w:rsidRPr="002C156E">
        <w:rPr>
          <w:rFonts w:asciiTheme="minorEastAsia" w:eastAsiaTheme="minorEastAsia" w:hAnsiTheme="minorEastAsia" w:hint="eastAsia"/>
          <w:sz w:val="21"/>
          <w:szCs w:val="21"/>
          <w:lang w:val="zh-CN"/>
        </w:rPr>
        <w:t>某设备</w:t>
      </w:r>
      <w:proofErr w:type="gramEnd"/>
      <w:r w:rsidRPr="002C156E">
        <w:rPr>
          <w:rFonts w:asciiTheme="minorEastAsia" w:eastAsiaTheme="minorEastAsia" w:hAnsiTheme="minorEastAsia" w:hint="eastAsia"/>
          <w:sz w:val="21"/>
          <w:szCs w:val="21"/>
          <w:lang w:val="zh-CN"/>
        </w:rPr>
        <w:t>4年前的原始成本为10000元，目前的账面价值是4000元，可变现净值为1500元，在进行设备更新分析时，应视为该设备沉没成本的价值（ 　）元。</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A．2500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B．8500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C．10000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D．1500</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50．企业的流动资产包括存货、库存现金、应收账款和（ 　）等。</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A．短期借款</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B．预收账款</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C．应付账款</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D．预付账款</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51．对于合同结果不能可靠地估计，合同成本能够确认的施工合同，其合同收入应按照（ 　）确认。</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A．合同初始收入</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B．实际合同成本+合理利润</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C．已经发生的全部成本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D．得到确认的实际合同成本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52．根据我国《企业会计准则》，利润总额的计算公式为（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A．营业利润+营业外收入-营业外支出</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B．营业收入-营业成本+营业外收支净额</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C．营业利润+投资收益+营业外收支净额</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D．营业利润+投资收益</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53．施工企业成本核算或投标报价时，周转性材料消耗量指标应根据（ 　）来确定。</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A．第二次使用时需要的补充量</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B．摊销量</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C．最终回收量</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D．一次使用量</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54．企业收到某机构的捐赠款50万元，该捐赠款应计入企业的（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A．实收资本</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B．营业外收入</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C．资本公积</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D．留存收益</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55．根据我国《企业会计准则》，业务收支以人民币以外的货币为主的企业，可以按规定选择其他货币作为记账本位币，但编制的财务会计报告应当（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A．根据其作为记账本位币的外币列示</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B．按照人民币和外币分别列示</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C．将外币折算为美元列示</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D．将外币折算为人民币列示</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56．某工艺设备原方案的投资额为10万元，经营成本为4.5万元，新方案的投资额为14万元，经营成本为3万元，则增加投资收益率为（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A．26.1%</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B．26.7%</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C．37.5%</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D．23.6%</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57．采用预算单价法编制施工图预算时，出现分项工程的主要材料品种与预算单价或地区单位估价表中规定的材料不一致时，正确的处理方式是（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A．不可以直接套用预算单价，应根据实际使用材料编制补充单位估算表</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B．直接套用预算单价，不考虑材料品种差异的影响</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C．直接套用预算单价，根据实际使用材料对材料数量进行调整</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D．不可以直接套用预算单价，应根据实际使用材料价格换算分项工程预算单价</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58．企业的应收账款增加将导致企业（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A．时段净资产减少</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B．流动资产减少</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C．总资产减少</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D．坏账的风险增加</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59．国际工程投标中，投标人做出最终报价前应对估算人员算出的暂时标价进行对比分析，其目的是（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A．从宏观上把握标价的合理性</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B．分析报价的竞争力</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C．预测报价的利润水平</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D．检查标价计算是否存在错误</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60．某采用工程量清单计价的招标工程，工程量清单中挖土方的工程量为26000立方米，投标人</w:t>
      </w:r>
      <w:proofErr w:type="gramStart"/>
      <w:r w:rsidRPr="002C156E">
        <w:rPr>
          <w:rFonts w:asciiTheme="minorEastAsia" w:eastAsiaTheme="minorEastAsia" w:hAnsiTheme="minorEastAsia" w:hint="eastAsia"/>
          <w:sz w:val="21"/>
          <w:szCs w:val="21"/>
          <w:lang w:val="zh-CN"/>
        </w:rPr>
        <w:t>甲根据</w:t>
      </w:r>
      <w:proofErr w:type="gramEnd"/>
      <w:r w:rsidRPr="002C156E">
        <w:rPr>
          <w:rFonts w:asciiTheme="minorEastAsia" w:eastAsiaTheme="minorEastAsia" w:hAnsiTheme="minorEastAsia" w:hint="eastAsia"/>
          <w:sz w:val="21"/>
          <w:szCs w:val="21"/>
          <w:lang w:val="zh-CN"/>
        </w:rPr>
        <w:t>其施工方案估算的挖土方工程量为4400立方米，直接工程费为76000元，管理费为18000元，利润为8000元，不考虑其他因素，则投标人甲填报的综合单价应为（ 　）元/立方米。</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A．36.15</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B．29.23</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C．39.23</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D．23.18</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二、多项选择题（共20题，每题2分。每题的备选项中，有2个或2个以上符合题意，至少有1个错项。错选，本题不得分；少选，所选的每个选项得0.5分）</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61．建设项目财务盈利能力分析中，动态分析指标有（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A．财务内部收益率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B．财务净现值</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C．财务净现值率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D．动态投资回收期</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E．投资收益率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【参考答案】ABCD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62．建设项目敏感性分析中，确定敏感因素可以通过计算（ 　）来判断。</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A．盈亏平衡点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B．评价指标变动率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C．部确定因素变动率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D．临界点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E．敏感度系数</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【参考答案】DE</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63．绘制现金流量</w:t>
      </w:r>
      <w:proofErr w:type="gramStart"/>
      <w:r w:rsidRPr="002C156E">
        <w:rPr>
          <w:rFonts w:asciiTheme="minorEastAsia" w:eastAsiaTheme="minorEastAsia" w:hAnsiTheme="minorEastAsia" w:hint="eastAsia"/>
          <w:sz w:val="21"/>
          <w:szCs w:val="21"/>
          <w:lang w:val="zh-CN"/>
        </w:rPr>
        <w:t>图需要</w:t>
      </w:r>
      <w:proofErr w:type="gramEnd"/>
      <w:r w:rsidRPr="002C156E">
        <w:rPr>
          <w:rFonts w:asciiTheme="minorEastAsia" w:eastAsiaTheme="minorEastAsia" w:hAnsiTheme="minorEastAsia" w:hint="eastAsia"/>
          <w:sz w:val="21"/>
          <w:szCs w:val="21"/>
          <w:lang w:val="zh-CN"/>
        </w:rPr>
        <w:t>把握的现金流量的要素有（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A．现金流量的大小</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B．绘制比例</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C．时间单位</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D．现金流入或流出</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E．发生的时点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【参考答案】ADE</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64．企业分配利润时，向投资者分配利润的形式有（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A．普通股股利</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B．转作股本的普通股股利</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C．转作资本的普通股股利</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D．优先股股利</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E．法定盈余公积金</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【参考答案】ABCD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65．公司型合资结构是项目投资的结构基本的</w:t>
      </w:r>
      <w:r w:rsidRPr="002C156E">
        <w:rPr>
          <w:rFonts w:asciiTheme="minorEastAsia" w:eastAsiaTheme="minorEastAsia" w:hAnsiTheme="minorEastAsia" w:hint="eastAsia"/>
          <w:color w:val="000000"/>
          <w:sz w:val="21"/>
          <w:szCs w:val="21"/>
          <w:lang w:val="zh-CN"/>
        </w:rPr>
        <w:t>法律</w:t>
      </w:r>
      <w:r w:rsidRPr="002C156E">
        <w:rPr>
          <w:rFonts w:asciiTheme="minorEastAsia" w:eastAsiaTheme="minorEastAsia" w:hAnsiTheme="minorEastAsia" w:cs="微软雅黑" w:hint="eastAsia"/>
          <w:sz w:val="21"/>
          <w:szCs w:val="21"/>
          <w:lang w:val="zh-CN"/>
        </w:rPr>
        <w:t>形式之一，关于</w:t>
      </w:r>
      <w:proofErr w:type="gramStart"/>
      <w:r w:rsidRPr="002C156E">
        <w:rPr>
          <w:rFonts w:asciiTheme="minorEastAsia" w:eastAsiaTheme="minorEastAsia" w:hAnsiTheme="minorEastAsia" w:cs="微软雅黑" w:hint="eastAsia"/>
          <w:sz w:val="21"/>
          <w:szCs w:val="21"/>
          <w:lang w:val="zh-CN"/>
        </w:rPr>
        <w:t>该形式下项目</w:t>
      </w:r>
      <w:proofErr w:type="gramEnd"/>
      <w:r w:rsidRPr="002C156E">
        <w:rPr>
          <w:rFonts w:asciiTheme="minorEastAsia" w:eastAsiaTheme="minorEastAsia" w:hAnsiTheme="minorEastAsia" w:cs="微软雅黑" w:hint="eastAsia"/>
          <w:sz w:val="21"/>
          <w:szCs w:val="21"/>
          <w:lang w:val="zh-CN"/>
        </w:rPr>
        <w:t>发起人与项目合资公司之间关系的说法，正确的有（</w:t>
      </w:r>
      <w:r w:rsidRPr="002C156E">
        <w:rPr>
          <w:rFonts w:asciiTheme="minorEastAsia" w:eastAsiaTheme="minorEastAsia" w:hAnsiTheme="minorEastAsia"/>
          <w:sz w:val="21"/>
          <w:szCs w:val="21"/>
          <w:lang w:val="zh-CN"/>
        </w:rPr>
        <w:t xml:space="preserve"> </w:t>
      </w:r>
      <w:r w:rsidRPr="002C156E">
        <w:rPr>
          <w:rFonts w:asciiTheme="minorEastAsia" w:eastAsiaTheme="minorEastAsia" w:hAnsiTheme="minorEastAsia" w:cs="微软雅黑" w:hint="eastAsia"/>
          <w:sz w:val="21"/>
          <w:szCs w:val="21"/>
          <w:lang w:val="zh-CN"/>
        </w:rPr>
        <w:t xml:space="preserve">　</w:t>
      </w:r>
      <w:r w:rsidRPr="002C156E">
        <w:rPr>
          <w:rFonts w:asciiTheme="minorEastAsia" w:eastAsiaTheme="minorEastAsia" w:hAnsiTheme="minorEastAsia" w:cs="宋体" w:hint="eastAsia"/>
          <w:sz w:val="21"/>
          <w:szCs w:val="21"/>
          <w:lang w:val="zh-CN"/>
        </w:rPr>
        <w:t>）</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cs="微软雅黑" w:hint="eastAsia"/>
          <w:sz w:val="21"/>
          <w:szCs w:val="21"/>
          <w:lang w:val="zh-CN"/>
        </w:rPr>
        <w:t xml:space="preserve">　　</w:t>
      </w:r>
      <w:r w:rsidRPr="002C156E">
        <w:rPr>
          <w:rFonts w:asciiTheme="minorEastAsia" w:eastAsiaTheme="minorEastAsia" w:hAnsiTheme="minorEastAsia"/>
          <w:sz w:val="21"/>
          <w:szCs w:val="21"/>
          <w:lang w:val="zh-CN"/>
        </w:rPr>
        <w:t>A</w:t>
      </w:r>
      <w:r w:rsidRPr="002C156E">
        <w:rPr>
          <w:rFonts w:asciiTheme="minorEastAsia" w:eastAsiaTheme="minorEastAsia" w:hAnsiTheme="minorEastAsia" w:cs="微软雅黑" w:hint="eastAsia"/>
          <w:sz w:val="21"/>
          <w:szCs w:val="21"/>
          <w:lang w:val="zh-CN"/>
        </w:rPr>
        <w:t>．发起人根据股东协议认购合资公司股</w:t>
      </w:r>
      <w:r w:rsidRPr="002C156E">
        <w:rPr>
          <w:rFonts w:asciiTheme="minorEastAsia" w:eastAsiaTheme="minorEastAsia" w:hAnsiTheme="minorEastAsia" w:cs="宋体" w:hint="eastAsia"/>
          <w:sz w:val="21"/>
          <w:szCs w:val="21"/>
          <w:lang w:val="zh-CN"/>
        </w:rPr>
        <w:t>份</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cs="微软雅黑" w:hint="eastAsia"/>
          <w:sz w:val="21"/>
          <w:szCs w:val="21"/>
          <w:lang w:val="zh-CN"/>
        </w:rPr>
        <w:t xml:space="preserve">　　</w:t>
      </w:r>
      <w:r w:rsidRPr="002C156E">
        <w:rPr>
          <w:rFonts w:asciiTheme="minorEastAsia" w:eastAsiaTheme="minorEastAsia" w:hAnsiTheme="minorEastAsia"/>
          <w:sz w:val="21"/>
          <w:szCs w:val="21"/>
          <w:lang w:val="zh-CN"/>
        </w:rPr>
        <w:t>B</w:t>
      </w:r>
      <w:r w:rsidRPr="002C156E">
        <w:rPr>
          <w:rFonts w:asciiTheme="minorEastAsia" w:eastAsiaTheme="minorEastAsia" w:hAnsiTheme="minorEastAsia" w:cs="微软雅黑" w:hint="eastAsia"/>
          <w:sz w:val="21"/>
          <w:szCs w:val="21"/>
          <w:lang w:val="zh-CN"/>
        </w:rPr>
        <w:t>．发起人在项目中的利益都是间接</w:t>
      </w:r>
      <w:r w:rsidRPr="002C156E">
        <w:rPr>
          <w:rFonts w:asciiTheme="minorEastAsia" w:eastAsiaTheme="minorEastAsia" w:hAnsiTheme="minorEastAsia" w:cs="宋体" w:hint="eastAsia"/>
          <w:sz w:val="21"/>
          <w:szCs w:val="21"/>
          <w:lang w:val="zh-CN"/>
        </w:rPr>
        <w:t>的</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cs="微软雅黑" w:hint="eastAsia"/>
          <w:sz w:val="21"/>
          <w:szCs w:val="21"/>
          <w:lang w:val="zh-CN"/>
        </w:rPr>
        <w:t xml:space="preserve">　　</w:t>
      </w:r>
      <w:r w:rsidRPr="002C156E">
        <w:rPr>
          <w:rFonts w:asciiTheme="minorEastAsia" w:eastAsiaTheme="minorEastAsia" w:hAnsiTheme="minorEastAsia"/>
          <w:sz w:val="21"/>
          <w:szCs w:val="21"/>
          <w:lang w:val="zh-CN"/>
        </w:rPr>
        <w:t>C</w:t>
      </w:r>
      <w:r w:rsidRPr="002C156E">
        <w:rPr>
          <w:rFonts w:asciiTheme="minorEastAsia" w:eastAsiaTheme="minorEastAsia" w:hAnsiTheme="minorEastAsia" w:cs="微软雅黑" w:hint="eastAsia"/>
          <w:sz w:val="21"/>
          <w:szCs w:val="21"/>
          <w:lang w:val="zh-CN"/>
        </w:rPr>
        <w:t>．合资公司是与发起人完全分离的独立法律实</w:t>
      </w:r>
      <w:r w:rsidRPr="002C156E">
        <w:rPr>
          <w:rFonts w:asciiTheme="minorEastAsia" w:eastAsiaTheme="minorEastAsia" w:hAnsiTheme="minorEastAsia" w:cs="宋体" w:hint="eastAsia"/>
          <w:sz w:val="21"/>
          <w:szCs w:val="21"/>
          <w:lang w:val="zh-CN"/>
        </w:rPr>
        <w:t>体</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cs="微软雅黑" w:hint="eastAsia"/>
          <w:sz w:val="21"/>
          <w:szCs w:val="21"/>
          <w:lang w:val="zh-CN"/>
        </w:rPr>
        <w:t xml:space="preserve">　　</w:t>
      </w:r>
      <w:r w:rsidRPr="002C156E">
        <w:rPr>
          <w:rFonts w:asciiTheme="minorEastAsia" w:eastAsiaTheme="minorEastAsia" w:hAnsiTheme="minorEastAsia"/>
          <w:sz w:val="21"/>
          <w:szCs w:val="21"/>
          <w:lang w:val="zh-CN"/>
        </w:rPr>
        <w:t>D</w:t>
      </w:r>
      <w:r w:rsidRPr="002C156E">
        <w:rPr>
          <w:rFonts w:asciiTheme="minorEastAsia" w:eastAsiaTheme="minorEastAsia" w:hAnsiTheme="minorEastAsia" w:cs="微软雅黑" w:hint="eastAsia"/>
          <w:sz w:val="21"/>
          <w:szCs w:val="21"/>
          <w:lang w:val="zh-CN"/>
        </w:rPr>
        <w:t>．发起人直接拥有项目资产的产</w:t>
      </w:r>
      <w:r w:rsidRPr="002C156E">
        <w:rPr>
          <w:rFonts w:asciiTheme="minorEastAsia" w:eastAsiaTheme="minorEastAsia" w:hAnsiTheme="minorEastAsia" w:cs="宋体" w:hint="eastAsia"/>
          <w:sz w:val="21"/>
          <w:szCs w:val="21"/>
          <w:lang w:val="zh-CN"/>
        </w:rPr>
        <w:t>权</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cs="微软雅黑" w:hint="eastAsia"/>
          <w:sz w:val="21"/>
          <w:szCs w:val="21"/>
          <w:lang w:val="zh-CN"/>
        </w:rPr>
        <w:t xml:space="preserve">　　</w:t>
      </w:r>
      <w:r w:rsidRPr="002C156E">
        <w:rPr>
          <w:rFonts w:asciiTheme="minorEastAsia" w:eastAsiaTheme="minorEastAsia" w:hAnsiTheme="minorEastAsia"/>
          <w:sz w:val="21"/>
          <w:szCs w:val="21"/>
          <w:lang w:val="zh-CN"/>
        </w:rPr>
        <w:t>E</w:t>
      </w:r>
      <w:r w:rsidRPr="002C156E">
        <w:rPr>
          <w:rFonts w:asciiTheme="minorEastAsia" w:eastAsiaTheme="minorEastAsia" w:hAnsiTheme="minorEastAsia" w:cs="微软雅黑" w:hint="eastAsia"/>
          <w:sz w:val="21"/>
          <w:szCs w:val="21"/>
          <w:lang w:val="zh-CN"/>
        </w:rPr>
        <w:t>．发起人在项目中的利益都是直接</w:t>
      </w:r>
      <w:r w:rsidRPr="002C156E">
        <w:rPr>
          <w:rFonts w:asciiTheme="minorEastAsia" w:eastAsiaTheme="minorEastAsia" w:hAnsiTheme="minorEastAsia" w:cs="宋体" w:hint="eastAsia"/>
          <w:sz w:val="21"/>
          <w:szCs w:val="21"/>
          <w:lang w:val="zh-CN"/>
        </w:rPr>
        <w:t>的</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cs="微软雅黑" w:hint="eastAsia"/>
          <w:sz w:val="21"/>
          <w:szCs w:val="21"/>
          <w:lang w:val="zh-CN"/>
        </w:rPr>
        <w:t xml:space="preserve">　　【参考答案】</w:t>
      </w:r>
      <w:r w:rsidRPr="002C156E">
        <w:rPr>
          <w:rFonts w:asciiTheme="minorEastAsia" w:eastAsiaTheme="minorEastAsia" w:hAnsiTheme="minorEastAsia"/>
          <w:sz w:val="21"/>
          <w:szCs w:val="21"/>
          <w:lang w:val="zh-CN"/>
        </w:rPr>
        <w:t>ABC</w:t>
      </w:r>
    </w:p>
    <w:p w:rsidR="002C156E" w:rsidRPr="002C156E" w:rsidRDefault="002C156E" w:rsidP="002C156E">
      <w:pPr>
        <w:rPr>
          <w:rFonts w:asciiTheme="minorEastAsia" w:eastAsiaTheme="minorEastAsia" w:hAnsiTheme="minorEastAsia"/>
          <w:sz w:val="21"/>
          <w:szCs w:val="21"/>
          <w:lang w:val="zh-CN"/>
        </w:rPr>
      </w:pPr>
      <w:r w:rsidRPr="002C156E">
        <w:rPr>
          <w:rFonts w:asciiTheme="minorEastAsia" w:eastAsiaTheme="minorEastAsia" w:hAnsiTheme="minorEastAsia" w:hint="eastAsia"/>
          <w:sz w:val="21"/>
          <w:szCs w:val="21"/>
          <w:lang w:val="zh-CN"/>
        </w:rPr>
        <w:t xml:space="preserve">　　66．估算</w:t>
      </w:r>
      <w:proofErr w:type="gramStart"/>
      <w:r w:rsidRPr="002C156E">
        <w:rPr>
          <w:rFonts w:asciiTheme="minorEastAsia" w:eastAsiaTheme="minorEastAsia" w:hAnsiTheme="minorEastAsia" w:hint="eastAsia"/>
          <w:sz w:val="21"/>
          <w:szCs w:val="21"/>
          <w:lang w:val="zh-CN"/>
        </w:rPr>
        <w:t>设备工</w:t>
      </w:r>
      <w:proofErr w:type="gramEnd"/>
      <w:r w:rsidRPr="002C156E">
        <w:rPr>
          <w:rFonts w:asciiTheme="minorEastAsia" w:eastAsiaTheme="minorEastAsia" w:hAnsiTheme="minorEastAsia" w:hint="eastAsia"/>
          <w:sz w:val="21"/>
          <w:szCs w:val="21"/>
          <w:lang w:val="zh-CN"/>
        </w:rPr>
        <w:t>器具购置费时，国产标准设备运杂费的构成包括（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A．交货地点至工地仓库的运费和装卸费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B．设备出厂价格中未包含的包装材料费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C．供销部门手续费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D．采购与仓库保管费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E．设备进场费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【参考答案】ABCD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67．工业项目初步设计的主要工作有（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A．确定建设规模</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B．确定生产组织形式</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C．确定融资方案</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D．编制总概算</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E．编制施工组织进度计划</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【参考答案】ABD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68．编制人工定额时，工人工作必须消耗的时间包括（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A．由于材料供应不及时引起的停工时间</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B．工人擅自离开工作岗位造成的时间损失</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C．准备工作时间</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D．由于施工工艺特点引起的工作中断所必需的时间</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E．工人下班前清洗整理工具的时间</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【参考答案】CDE</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69．反映企业财务状况的会计要素有（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A．收入</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B．所有者权益</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C．资产</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D．费用</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E．负债</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【参考答案】BCE</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70．关于企业净资产收益率指标的说法，正确的有（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A．该指标反映了企业偿付到期债务的能力</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B．指标值越高，说明企业盈利能力越好</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C．指标值越高，表明资产的利用效率越高</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D．该指标是企业本期利润总额和净资产的比率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E．该指标反映企业全部资产运用的总成果</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【参考答案】BC</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71．单位建筑工程概算的常用编制方法有（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A．概算定额法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B．预算定额法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C．概算指标法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D．类似工程预算法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E．生产能力指标法</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【参考答案】ACD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72．施工企业发生的下列费用，应当计入财务费用的有（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A．财会人员的工资</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B．短期借款的利息</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C．财务部门的办公费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D．应付票据的利息</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E．汇兑损失</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【参考答案】BDE</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73．工程量清单是（ 　）的依据。</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A．进行工程索赔</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B．编制项目投资估算</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C．支付招标控制价</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D．支付工程进度款</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E．办理竣工结算</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【参考答案】ACDE</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74．建设项目投资组成中，建设管理费包括（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A．工程勘察费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B．工程监理费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C．工程设计费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D．施工管理费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E．建设单位管理费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【参考答案】BE</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75．对承包人来说，经营性租赁设备与购买设备相比的优点有（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A．可以避免设备的第一种无形磨损</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B．可缓解短期内资金不足的困难</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C．可以根据需要随时处置设备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D．可以享受税费上的利益</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E．可以用租赁设备进行抵押贷款</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【参考答案】ABD</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76．建筑安装工程材料费包括（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A．材料原价</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B．材料运杂费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C．采购与保管费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D．新材料试验费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E．运输损耗费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【参考答案】ABCE</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77．造成设备无形磨损的原因有（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A．通货膨胀导致货币贬值</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B．自然力的作用使设备产生磨损</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C．技术进步创造出效率更高、能耗更低的设备</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D．设备使用过程中的磨损、变形</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E．社会劳动生产率水平提高使同类设备的再生产价值降低</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【参考答案】CE</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78．根据《建设工程工程量清单计价规范》（GB 50500-2008），分部分项工程综合单价包括完成规定计量单位清单项目所需的人工费、材料费、机械使用费以及（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A．管理费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B．利润</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w:t>
      </w:r>
      <w:proofErr w:type="gramStart"/>
      <w:r w:rsidRPr="002C156E">
        <w:rPr>
          <w:rFonts w:asciiTheme="minorEastAsia" w:eastAsiaTheme="minorEastAsia" w:hAnsiTheme="minorEastAsia" w:hint="eastAsia"/>
          <w:sz w:val="21"/>
          <w:szCs w:val="21"/>
          <w:lang w:val="zh-CN"/>
        </w:rPr>
        <w:t>规</w:t>
      </w:r>
      <w:proofErr w:type="gramEnd"/>
      <w:r w:rsidRPr="002C156E">
        <w:rPr>
          <w:rFonts w:asciiTheme="minorEastAsia" w:eastAsiaTheme="minorEastAsia" w:hAnsiTheme="minorEastAsia" w:hint="eastAsia"/>
          <w:sz w:val="21"/>
          <w:szCs w:val="21"/>
          <w:lang w:val="zh-CN"/>
        </w:rPr>
        <w:t>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D．税金</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E．一定范围内的风险费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【参考答案】ABE</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79．根据《建筑安装工程费用项目组成》（建标［2003］206号文），建筑安装工程直接工程费包括（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A．其他直接费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lastRenderedPageBreak/>
        <w:t xml:space="preserve">　　B．人工费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C．措施费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D．材料费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E．机械使用费</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【参考答案】BDE</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80．施工企业其他业务收入包括（ 　）</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A．产品销售收入</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B．建造合同收入</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C．材料销售收入</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D．固定资产盘盈收入</w:t>
      </w:r>
    </w:p>
    <w:p w:rsidR="002C156E"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E．固定资产出租收入</w:t>
      </w:r>
    </w:p>
    <w:p w:rsidR="004358AB" w:rsidRPr="002C156E" w:rsidRDefault="002C156E" w:rsidP="002C156E">
      <w:pPr>
        <w:rPr>
          <w:rFonts w:asciiTheme="minorEastAsia" w:eastAsiaTheme="minorEastAsia" w:hAnsiTheme="minorEastAsia" w:hint="eastAsia"/>
          <w:sz w:val="21"/>
          <w:szCs w:val="21"/>
          <w:lang w:val="zh-CN"/>
        </w:rPr>
      </w:pPr>
      <w:r w:rsidRPr="002C156E">
        <w:rPr>
          <w:rFonts w:asciiTheme="minorEastAsia" w:eastAsiaTheme="minorEastAsia" w:hAnsiTheme="minorEastAsia" w:hint="eastAsia"/>
          <w:sz w:val="21"/>
          <w:szCs w:val="21"/>
          <w:lang w:val="zh-CN"/>
        </w:rPr>
        <w:t xml:space="preserve">　　【参考答案】ACE</w:t>
      </w:r>
      <w:bookmarkStart w:id="0" w:name="_GoBack"/>
      <w:bookmarkEnd w:id="0"/>
    </w:p>
    <w:sectPr w:rsidR="004358AB" w:rsidRPr="002C156E" w:rsidSect="004358A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720"/>
  <w:characterSpacingControl w:val="doNotCompress"/>
  <w:compat>
    <w:useFELayout/>
    <w:compatSetting w:name="compatibilityMode" w:uri="http://schemas.microsoft.com/office/word" w:val="12"/>
  </w:compat>
  <w:rsids>
    <w:rsidRoot w:val="00D31D50"/>
    <w:rsid w:val="002C156E"/>
    <w:rsid w:val="00323B43"/>
    <w:rsid w:val="003D37D8"/>
    <w:rsid w:val="00426133"/>
    <w:rsid w:val="004358AB"/>
    <w:rsid w:val="008B7726"/>
    <w:rsid w:val="00D31D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991EDAB-76C0-47F7-BEBA-C3BF73C711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780893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19</Pages>
  <Words>1397</Words>
  <Characters>7967</Characters>
  <Application>Microsoft Office Word</Application>
  <DocSecurity>0</DocSecurity>
  <Lines>66</Lines>
  <Paragraphs>18</Paragraphs>
  <ScaleCrop>false</ScaleCrop>
  <Company/>
  <LinksUpToDate>false</LinksUpToDate>
  <CharactersWithSpaces>9346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xbany</cp:lastModifiedBy>
  <cp:revision>2</cp:revision>
  <dcterms:created xsi:type="dcterms:W3CDTF">2008-09-11T17:20:00Z</dcterms:created>
  <dcterms:modified xsi:type="dcterms:W3CDTF">2018-05-08T06:10:00Z</dcterms:modified>
</cp:coreProperties>
</file>