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0F6B" w:rsidRPr="00EA0F6B" w:rsidRDefault="00EA0F6B" w:rsidP="00EA0F6B">
      <w:pPr>
        <w:widowControl w:val="0"/>
        <w:autoSpaceDE w:val="0"/>
        <w:autoSpaceDN w:val="0"/>
        <w:jc w:val="center"/>
        <w:rPr>
          <w:rFonts w:asciiTheme="minorEastAsia" w:eastAsiaTheme="minorEastAsia" w:hAnsiTheme="minorEastAsia" w:hint="eastAsia"/>
          <w:kern w:val="2"/>
          <w:sz w:val="21"/>
          <w:szCs w:val="21"/>
        </w:rPr>
      </w:pPr>
      <w:r w:rsidRPr="00EA0F6B">
        <w:rPr>
          <w:rFonts w:asciiTheme="minorEastAsia" w:eastAsiaTheme="minorEastAsia" w:hAnsiTheme="minorEastAsia" w:hint="eastAsia"/>
          <w:b/>
          <w:sz w:val="21"/>
          <w:szCs w:val="21"/>
          <w:lang w:val="zh-CN"/>
        </w:rPr>
        <w:t>201</w:t>
      </w:r>
      <w:r w:rsidRPr="00EA0F6B">
        <w:rPr>
          <w:rFonts w:asciiTheme="minorEastAsia" w:eastAsiaTheme="minorEastAsia" w:hAnsiTheme="minorEastAsia" w:hint="eastAsia"/>
          <w:b/>
          <w:sz w:val="21"/>
          <w:szCs w:val="21"/>
        </w:rPr>
        <w:t>2</w:t>
      </w:r>
      <w:r w:rsidRPr="00EA0F6B">
        <w:rPr>
          <w:rFonts w:asciiTheme="minorEastAsia" w:eastAsiaTheme="minorEastAsia" w:hAnsiTheme="minorEastAsia" w:hint="eastAsia"/>
          <w:b/>
          <w:sz w:val="21"/>
          <w:szCs w:val="21"/>
          <w:lang w:val="zh-CN"/>
        </w:rPr>
        <w:t>年一级建造师《建设工程经济》真题及答案</w:t>
      </w:r>
      <w:r>
        <w:rPr>
          <w:rFonts w:asciiTheme="minorEastAsia" w:eastAsiaTheme="minorEastAsia" w:hAnsiTheme="minorEastAsia" w:hint="eastAsia"/>
          <w:b/>
          <w:sz w:val="21"/>
          <w:szCs w:val="21"/>
          <w:lang w:val="zh-CN"/>
        </w:rPr>
        <w:t>解析</w:t>
      </w:r>
      <w:bookmarkStart w:id="0" w:name="_GoBack"/>
      <w:bookmarkEnd w:id="0"/>
    </w:p>
    <w:p w:rsidR="00EA0F6B" w:rsidRPr="00EA0F6B" w:rsidRDefault="00EA0F6B" w:rsidP="00EA0F6B">
      <w:pPr>
        <w:widowControl w:val="0"/>
        <w:autoSpaceDE w:val="0"/>
        <w:autoSpaceDN w:val="0"/>
        <w:rPr>
          <w:rFonts w:asciiTheme="minorEastAsia" w:eastAsiaTheme="minorEastAsia" w:hAnsiTheme="minorEastAsia" w:hint="eastAsia"/>
          <w:b/>
          <w:bCs/>
          <w:kern w:val="2"/>
          <w:sz w:val="21"/>
          <w:szCs w:val="21"/>
        </w:rPr>
      </w:pPr>
      <w:r w:rsidRPr="00EA0F6B">
        <w:rPr>
          <w:rFonts w:asciiTheme="minorEastAsia" w:eastAsiaTheme="minorEastAsia" w:hAnsiTheme="minorEastAsia" w:hint="eastAsia"/>
          <w:b/>
          <w:bCs/>
          <w:kern w:val="2"/>
          <w:sz w:val="21"/>
          <w:szCs w:val="21"/>
        </w:rPr>
        <w:t>一、单项选择题：（共60题，每题1分，每题的备选项中，只有一个最符合题意）</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1、某公司以单利方式一次性借入资金2000万元，借款期限3年，年利率8%，到期一次还本付息，则第三年末应当偿还的本利和为（ ）万元。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A．2160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B．2240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C．2480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D．2519</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【解析】本题主要考核点，单利计算。</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第一年利息：2000*8%=160万。</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三年总利息：160*3=480万。</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三年本利和：2000+480=2480万元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2、关于现金流量图的绘制规则的说法，正确的是（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A．对投资人来说，时间轴上方</w:t>
      </w:r>
      <w:proofErr w:type="gramStart"/>
      <w:r w:rsidRPr="00EA0F6B">
        <w:rPr>
          <w:rFonts w:asciiTheme="minorEastAsia" w:eastAsiaTheme="minorEastAsia" w:hAnsiTheme="minorEastAsia" w:hint="eastAsia"/>
          <w:kern w:val="2"/>
          <w:sz w:val="21"/>
          <w:szCs w:val="21"/>
        </w:rPr>
        <w:t>的箭线表示</w:t>
      </w:r>
      <w:proofErr w:type="gramEnd"/>
      <w:r w:rsidRPr="00EA0F6B">
        <w:rPr>
          <w:rFonts w:asciiTheme="minorEastAsia" w:eastAsiaTheme="minorEastAsia" w:hAnsiTheme="minorEastAsia" w:hint="eastAsia"/>
          <w:kern w:val="2"/>
          <w:sz w:val="21"/>
          <w:szCs w:val="21"/>
        </w:rPr>
        <w:t>现金流出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w:t>
      </w:r>
      <w:proofErr w:type="gramStart"/>
      <w:r w:rsidRPr="00EA0F6B">
        <w:rPr>
          <w:rFonts w:asciiTheme="minorEastAsia" w:eastAsiaTheme="minorEastAsia" w:hAnsiTheme="minorEastAsia" w:hint="eastAsia"/>
          <w:kern w:val="2"/>
          <w:sz w:val="21"/>
          <w:szCs w:val="21"/>
        </w:rPr>
        <w:t>箭线长短</w:t>
      </w:r>
      <w:proofErr w:type="gramEnd"/>
      <w:r w:rsidRPr="00EA0F6B">
        <w:rPr>
          <w:rFonts w:asciiTheme="minorEastAsia" w:eastAsiaTheme="minorEastAsia" w:hAnsiTheme="minorEastAsia" w:hint="eastAsia"/>
          <w:kern w:val="2"/>
          <w:sz w:val="21"/>
          <w:szCs w:val="21"/>
        </w:rPr>
        <w:t>与现金流量的大小没有关系</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w:t>
      </w:r>
      <w:proofErr w:type="gramStart"/>
      <w:r w:rsidRPr="00EA0F6B">
        <w:rPr>
          <w:rFonts w:asciiTheme="minorEastAsia" w:eastAsiaTheme="minorEastAsia" w:hAnsiTheme="minorEastAsia" w:hint="eastAsia"/>
          <w:kern w:val="2"/>
          <w:sz w:val="21"/>
          <w:szCs w:val="21"/>
        </w:rPr>
        <w:t>箭线与</w:t>
      </w:r>
      <w:proofErr w:type="gramEnd"/>
      <w:r w:rsidRPr="00EA0F6B">
        <w:rPr>
          <w:rFonts w:asciiTheme="minorEastAsia" w:eastAsiaTheme="minorEastAsia" w:hAnsiTheme="minorEastAsia" w:hint="eastAsia"/>
          <w:kern w:val="2"/>
          <w:sz w:val="21"/>
          <w:szCs w:val="21"/>
        </w:rPr>
        <w:t>时间轴的交点表示现金流量发生的时点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D．时间轴上的点通常表示该时间单位的起始时点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【解析】本题主要考核点，现金流量图的绘制规则。</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A项错在流出。应该为流入。</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B项：</w:t>
      </w:r>
      <w:proofErr w:type="gramStart"/>
      <w:r w:rsidRPr="00EA0F6B">
        <w:rPr>
          <w:rFonts w:asciiTheme="minorEastAsia" w:eastAsiaTheme="minorEastAsia" w:hAnsiTheme="minorEastAsia" w:hint="eastAsia"/>
          <w:kern w:val="2"/>
          <w:sz w:val="21"/>
          <w:szCs w:val="21"/>
        </w:rPr>
        <w:t>箭线长短</w:t>
      </w:r>
      <w:proofErr w:type="gramEnd"/>
      <w:r w:rsidRPr="00EA0F6B">
        <w:rPr>
          <w:rFonts w:asciiTheme="minorEastAsia" w:eastAsiaTheme="minorEastAsia" w:hAnsiTheme="minorEastAsia" w:hint="eastAsia"/>
          <w:kern w:val="2"/>
          <w:sz w:val="21"/>
          <w:szCs w:val="21"/>
        </w:rPr>
        <w:t>与现金流量的大小有关系，基本成比例关系。</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D项：时间轴上的点通常表示该时间单位的终点时点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3、对于非经营性技术方案，经济效果评价主要分析拟定方案的（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A．盈利能力</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B．偿债能力</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C．财务生存能力</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D．抗风险能力</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【答案】C</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【解析】本题主要考核点，经营性技术方案和非经营性技术方案，经济效果评价的不同。</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经营性技术方案，经济效果评价主要分析方案的盈利能力、偿债能力和财务生存能力。而非经营性技术方案，经济效果评价主要分析方案的财务生存能力。</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4、某技术方案的总投资1500万元，其中债务资金700万元，技术方案在正常年份年利润总额400万元，所得税100万元，年折旧费80万元。则该方案的资本金净利润率为（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A．26.7%</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B．37.5%</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C．42.9%</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D．47.5%</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【解析】本题主要考核点，资本金净利润率的计算。</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资本金净利润率ROE ：表示项目资本金的盈利水平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ROE=NP/ECX100%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其中：NP</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项目达到设计生产能力后正常年份的税后净利润或运营期内税后年平均净利润，净利润=利润总额-所得税；</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EC</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项目资本金。</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本题：NP=400-100=300万元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EC=1500-700=800万元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ROE=NP/ECX100% =300/800=37.5%。</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5、关于技术方案财务净现值与基准收益率，说法正确的是（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A．基准收益率越大，财务净现值越小</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B．基准收益率越大，财务净现值越大</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C．基准收益率越小，财务净现值越小</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D．两者之间没有关系</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【解析】本题主要考核点，技术方案财务净现值与基准收益率的相互关系。</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技术方案财务净现值FNPV与基准收益率ic之间呈单调递减关系。</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技术方案财务净现值会随着基准收益率的增大，由大变小老苍。</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但本题出题不严谨，对于非常规的技术方案，则不一定得出这样的结论。如只有现金流出没有现金流入的方案。</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6、技术方案的盈利能力越强，则技术方案的（ ）越大。</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A．投资回收期</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B．盈亏平衡产量</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C．速动比率</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D．财务净现值</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【答案】D</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【解析】本题主要考核点，综合考查技术方案的盈利能力指标的特点。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投资回收期和盈亏平衡产量越大，表明技术方案的盈利能力越差。财务净现值越大，表明技术方案的盈利能力越强。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速动比率是偿债能力指标。</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7、某常规技术方案，FNPV（16%）=160万元，FNPV（18%）=-80万元，</w:t>
      </w:r>
      <w:proofErr w:type="gramStart"/>
      <w:r w:rsidRPr="00EA0F6B">
        <w:rPr>
          <w:rFonts w:asciiTheme="minorEastAsia" w:eastAsiaTheme="minorEastAsia" w:hAnsiTheme="minorEastAsia" w:hint="eastAsia"/>
          <w:kern w:val="2"/>
          <w:sz w:val="21"/>
          <w:szCs w:val="21"/>
        </w:rPr>
        <w:t>则方案</w:t>
      </w:r>
      <w:proofErr w:type="gramEnd"/>
      <w:r w:rsidRPr="00EA0F6B">
        <w:rPr>
          <w:rFonts w:asciiTheme="minorEastAsia" w:eastAsiaTheme="minorEastAsia" w:hAnsiTheme="minorEastAsia" w:hint="eastAsia"/>
          <w:kern w:val="2"/>
          <w:sz w:val="21"/>
          <w:szCs w:val="21"/>
        </w:rPr>
        <w:t>的FIRR最可能为（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A．15.98%</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B．16.21%</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C．17.33%</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D．18.21%</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【解析】本题主要考核点，常规技术方案的财务净现值（FNPV）与财务内部收益率（FIRR）之间的关系。</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常规技术方案的财务净现值（FNPV）与基准收益率（ic）之间呈单调递减关系，FNPV会随ic的增大，由大变小，由正变负。而FNPV=0时的ic即为财务内部收益率（FIRR）。</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由题意。FNPV（16%）=160万元，FNPV（18%）=-80万元，则FNPV=0时的ic一定在16%和18%之间，而且偏18%一侧，故选择C项。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8、要保证技术方案生产运营期有足够资金支付到期利息，方案的利息备付率最低不应低于（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A．0.5</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B．1</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C．3</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D．5</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【解析】本题主要考核点，技术方案的利息备付率。</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利息备付率也称已获利</w:t>
      </w:r>
      <w:proofErr w:type="gramStart"/>
      <w:r w:rsidRPr="00EA0F6B">
        <w:rPr>
          <w:rFonts w:asciiTheme="minorEastAsia" w:eastAsiaTheme="minorEastAsia" w:hAnsiTheme="minorEastAsia" w:hint="eastAsia"/>
          <w:kern w:val="2"/>
          <w:sz w:val="21"/>
          <w:szCs w:val="21"/>
        </w:rPr>
        <w:t>息</w:t>
      </w:r>
      <w:proofErr w:type="gramEnd"/>
      <w:r w:rsidRPr="00EA0F6B">
        <w:rPr>
          <w:rFonts w:asciiTheme="minorEastAsia" w:eastAsiaTheme="minorEastAsia" w:hAnsiTheme="minorEastAsia" w:hint="eastAsia"/>
          <w:kern w:val="2"/>
          <w:sz w:val="21"/>
          <w:szCs w:val="21"/>
        </w:rPr>
        <w:t>倍数，是指项目在借款偿还期内各年可用于支付利息的税息前利润与当期应付利息费用的比值。</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正常情况下，ICR &gt;1，表示企业有偿还利息的能力；ICR&lt;1时，表示企业没有足够的资金支付利息，偿债风险很大。</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9、以技术方案的总投资作为计算基础，反映技术方案在整个计算期内现金流入和流出的现金流量表是（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A．资本金现金流量表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B．投资各方现金流量表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C．财务计划现金流量表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D．投资现金流量表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【答案】D</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【解析】本题主要考核点，各类现金流量表的计算基础。</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10、某技术方案设计年产量为5000件，单位产品售价为2500元，单位产品变动成本是750元，单位产品的营业税及附加为370元，</w:t>
      </w:r>
      <w:proofErr w:type="gramStart"/>
      <w:r w:rsidRPr="00EA0F6B">
        <w:rPr>
          <w:rFonts w:asciiTheme="minorEastAsia" w:eastAsiaTheme="minorEastAsia" w:hAnsiTheme="minorEastAsia" w:hint="eastAsia"/>
          <w:kern w:val="2"/>
          <w:sz w:val="21"/>
          <w:szCs w:val="21"/>
        </w:rPr>
        <w:t>年固定</w:t>
      </w:r>
      <w:proofErr w:type="gramEnd"/>
      <w:r w:rsidRPr="00EA0F6B">
        <w:rPr>
          <w:rFonts w:asciiTheme="minorEastAsia" w:eastAsiaTheme="minorEastAsia" w:hAnsiTheme="minorEastAsia" w:hint="eastAsia"/>
          <w:kern w:val="2"/>
          <w:sz w:val="21"/>
          <w:szCs w:val="21"/>
        </w:rPr>
        <w:t>成本为240万元，该项目达到设计生产能力时年税前利润为（ ）万元。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A．450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B．135</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C．635</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D．825</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【解析】本题主要考核点，方案盈利与产量之间的关系。</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B=PQ-[（Cu+Tu）Q+CF]=5000*2500-[（750+370）*5000+2400000]=4500000元。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11、编制和应用施工定额之所以有利于推广先进技术是因为（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A.施工定额是强制实施的</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B.施工定额是工程定额体系的基础</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C.施工定额水平本身包含成熟先进的施工技术</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D.施工定额是用先进的技术方法测定出来的</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【解析】本题主要考核点，施工定额的作用。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施工定额有利于推广先进技术，作业性定额水平中包含着某些已成熟的陷阱的施工技术和经验。工人要达到和超过定额， 就必须掌握和运用这些先进技术，注意改进工具和改进技术操作方法，注意原材料的节约， 避免浪费。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12、要分别分析材料消耗量和采购单价对工程材料费用的影响，可采用的财务分析方法是（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A．趋势分析法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B．因果分析法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C．比率分析法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D．因素分析法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【答案】D</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【解析】本题主要考核点，因素分析法。P132-133</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13、根据《建筑安装工程费用项目组成》（建标[2003]206号），建筑安装工程造价中安全施工费的计算基础是（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A．人工费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B．材料费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C．直接工程费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D．直接费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【解析】本题主要考核点，措施费。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注意11项措施费中，环境保护费、文明施工费、安全施工费、二次搬运费四项的计算基础都是直接工程费费×相应费率（%）。</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14.根据《建设工程工程量清单计价规范》（GB 50500-2008），垂直运输机械费应列在（　）中。</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A.分部分项工程量清单与计价表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B.措施项目清单与计价表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C.其他项目清单与计价汇总表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D.专业工程暂估价表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【答案】B。措施项目清单与计价表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【解析】参见教材P223，中间部分的（2）。</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15.某建设工程项目的建设期为2年，第一年贷款600万元，第二年贷款800万元，贷款年利率10%，按年复利计息，则该项目建设期利息综合为（　）万元。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A.103</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B.140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C.133</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D.200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【答案】C。133</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【解析】600/2*10%+(600+800/2+600/2*10%)*10%=133（万元）。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16.某建设工程项目的设备及工器具购置费为2500万元，建筑安装工程费为2000万元，工程建设其他费为1500万元，基本预备费率为10%，则该项目的基本预备费为（　）万元。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A.200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B.400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C.600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D.450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【答案】C。600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【解析】（2500+2000+1500）*10%=600（万元）。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17.</w:t>
      </w:r>
      <w:proofErr w:type="gramStart"/>
      <w:r w:rsidRPr="00EA0F6B">
        <w:rPr>
          <w:rFonts w:asciiTheme="minorEastAsia" w:eastAsiaTheme="minorEastAsia" w:hAnsiTheme="minorEastAsia" w:hint="eastAsia"/>
          <w:kern w:val="2"/>
          <w:sz w:val="21"/>
          <w:szCs w:val="21"/>
        </w:rPr>
        <w:t>某设备</w:t>
      </w:r>
      <w:proofErr w:type="gramEnd"/>
      <w:r w:rsidRPr="00EA0F6B">
        <w:rPr>
          <w:rFonts w:asciiTheme="minorEastAsia" w:eastAsiaTheme="minorEastAsia" w:hAnsiTheme="minorEastAsia" w:hint="eastAsia"/>
          <w:kern w:val="2"/>
          <w:sz w:val="21"/>
          <w:szCs w:val="21"/>
        </w:rPr>
        <w:t>6年前的原始成本为90000元，目前的账面价值为30000元，现在的市场价值为16000元，则该设备的沉没成本为（　）元。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A.10000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B.14000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C.44000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D.60000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【答案】B。1400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【解析】30000-16000=14000（元）。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18.以建筑物或构筑物各个分部分项工程为对象编制的定额是（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A.施工定额</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B.材料消耗定额</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C.预算定额</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D.概算定额</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【答案】C。预算定额</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【解析】参见教材P176。</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19.采用工程量清单计价的工程在竣工决算时，暂估价中的材料单价应按（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A.承包方自行购买该材料的单价计入综合单价确定</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B.发、承包双方最终确认价在综合单价中调整</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C.招标文件中的暂估价定</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D.市场价格信息在综合单价中调整</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【答案】B。发、承包双方最终确定价在综合单价中调整</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【解析】参见教材P265。</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20.根据《建设工程价款结算暂行办法》，建设工程承发包双方未在合同中对工程进度款支付时间、支付比例等作约定的，发包人应该在批准工程进度款支付申请的（　）天内，向承包人支付规定比例范围内的工程进度款。</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A.7</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B.28</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C.56</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D.14</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【答案】D。14</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【解析】参见教材P243页下半部分。</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21.某混凝土结构施工采用木模板。木模板一次净用量为200m2，模板现场制作安装不可避免的损耗率为3%，模板可周转使用5次，每次补损率为5%，该模板周转使用量为（　）m2.</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A.41.2</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B.49.44</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C.43.20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D.51.50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【答案】B。49.44</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22.某施工企业承包的一项工程，工程价款为1000万元，其中包括修缮工程所用原材料价款15万元以及应付给指定分包商的工程款100万元，营业税税率为营业额的3%，则该企业需缴纳营业税（　）万元。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A.27</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B.30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C.32</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D.33</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【答案】A。27</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【解析】（1000-100）*3%=27（万元），注意不能扣除原材料价款。</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23.若企业的资产按购置时所付出的代价的公允价值计量，则根据会计计量属性，该资产计量属于按（　）计量。</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A.重置成本</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B.历史成本</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C.可变现净值</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D.公允价值</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【答案】B。历史成本</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【解析】参见教材84页下半部分。</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24.某采用工程量清单招标的工程，评标委员会发现某标书漏填了分部分项工程类清单中</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地面找平</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一项的综合单价和合价，则评标委员会的正确处理方式是（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A.视为该项费用已包含在工程量清单的其他单价和合价中</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B.认定该标书为废标</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C.要求投标人就此项进行单独报价，补充到原报价书中</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D.由评标委员会认定一个合理价格补充到原报价书中</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【答案】A。视为该项费用已包含在工程量清单的其他单价和合价中</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【解析】参见P283中间部分。</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25.采用装运港船上交货价的进口设备，估算其购置费时，货价按照（　）计算。</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A.出厂价</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B.到岸价</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C.抵岸价</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D.离岸价</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【答案】D。离岸价</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【解析】参见教材P155第四段。</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26.某国际工程，业主方在招标文件中规定了200万元的暂定金额。则每一个承包商在投标报价时对该项暂定金额的正确处理方式是（）</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A.计入投标总报价，但承包商无权自主使用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B.计入投标总报价，并且承包商有权自主使用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C.不计入投标总价，在实际发生时由业主支付</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D.不计入投标总价，由工程师决定是否使用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【答案】A。计入投标总价，但承包商无权自主使用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【解析】参见教材P224。</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27.根据《建设工程工程量清单计价规范》（GB 50500</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2008）。采用工程量清单招标的工程，投标人在投标报价时不得作为竞争性费用的是（）</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A.夜间施工费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B.施工排水降水费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C.安全文明施工费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D.二次搬运费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【答案】C。安全文明施工费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【解析】参见教材P231中间部分。</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28.施工企业向外提供机械作业取得的收入属于（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A.提供劳务收入</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B.销售商品收入</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C.让渡资产使用权收入</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D.建造合同收入</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【答案】A。提供劳务收入</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【解析】参见教材106中间部分。</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29.下列财务比率中，属于企业偿债能力分析指标的是（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A.总资产周转率</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B.净资产收益率</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C.营业增长率</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D.流动比率</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【答案】D。流动比率</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【解析】参见教材P133页下半部分。</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30.关于技术方案敏感性分析的说法，正确的是（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A.概算定额法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B.类似工程预算法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C.概算指标法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D.预算单价法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【答案】C。概算指标法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【解析】参见教材200页第三行。</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31.关于急速方案敏感性分析的说法，正确的是（）</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A.敏感性分析只能分析单一不确定因素变化对技术方案经济效果的影响</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B.敏感性分析的局限性是依靠分析人员主观经验来分析判断，有可能存在片面性</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C.敏感度系数越大，表明评价指标对不确定因素越不敏感</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D.敏感性分析必须考虑所有不确定因素对评价指标的影响</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【答案】B。敏感性分析的局限性是依靠分析人员主观经验来分析判断，有可能存在片面性。</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【解析】参见教材41页。</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32.根据《建设工程工程量清单计价规范》（GB 50500</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2008）计价的某土方工程，业主方提供的清单工程量为3951m?。施工企业预计的实际施工量为7902m?，预计完成该分项工程</w:t>
      </w:r>
      <w:r w:rsidRPr="00EA0F6B">
        <w:rPr>
          <w:rFonts w:asciiTheme="minorEastAsia" w:eastAsiaTheme="minorEastAsia" w:hAnsiTheme="minorEastAsia" w:hint="eastAsia"/>
          <w:kern w:val="2"/>
          <w:sz w:val="21"/>
          <w:szCs w:val="21"/>
        </w:rPr>
        <w:lastRenderedPageBreak/>
        <w:t>的直接费为115265.27元，管理费为39190.19元，利润为9221.22元，不考虑风险费和其他因素，则该分项工程的综合单价应为（）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A.41.43</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B.20.71</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C.29.17</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D.94.48</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【答案】A。41.43</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【解析】（115265.27+39190.19+9221.22）/3951=41.43(元/m3)。</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33.根据我国现行《企业会计准则》，企业支付的广告费属于企业的（）。</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A.资本性支出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B.利润分配支出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C.期间费用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D.营业外支出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【答案】C。期间费用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【解析】参见教材90页最后关于期间费用的表述。</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34.</w:t>
      </w:r>
      <w:proofErr w:type="gramStart"/>
      <w:r w:rsidRPr="00EA0F6B">
        <w:rPr>
          <w:rFonts w:asciiTheme="minorEastAsia" w:eastAsiaTheme="minorEastAsia" w:hAnsiTheme="minorEastAsia" w:hint="eastAsia"/>
          <w:kern w:val="2"/>
          <w:sz w:val="21"/>
          <w:szCs w:val="21"/>
        </w:rPr>
        <w:t>若施工</w:t>
      </w:r>
      <w:proofErr w:type="gramEnd"/>
      <w:r w:rsidRPr="00EA0F6B">
        <w:rPr>
          <w:rFonts w:asciiTheme="minorEastAsia" w:eastAsiaTheme="minorEastAsia" w:hAnsiTheme="minorEastAsia" w:hint="eastAsia"/>
          <w:kern w:val="2"/>
          <w:sz w:val="21"/>
          <w:szCs w:val="21"/>
        </w:rPr>
        <w:t>招标文件和中标人投标文件对工程质量标准的定义不一致，则商签施工合同时，工程质量标准约定应以（）为准</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A.中标人投标文件</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B.双方重新协商的结果</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C.招标文件</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D.中标通知书</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【答案】A。中标人的投标文件</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【解析】参见教材239页中下部分。</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35.编制建设项目投资估算时，考虑项目在实施中可能会发生涉及变更增加工程量，投资计划中需要事先预留的费用是（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A.涨价预备费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B.铺底流动资金</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C.基本预备费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D.工程建设其他费用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【答案】C。基本预备费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【解析】参见教材162页关于基本预备费的定义。</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36.招标人编制招标控制价与投标人报价的共同基础是（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A.工料单价</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B.综合单价</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w:t>
      </w:r>
      <w:proofErr w:type="gramStart"/>
      <w:r w:rsidRPr="00EA0F6B">
        <w:rPr>
          <w:rFonts w:asciiTheme="minorEastAsia" w:eastAsiaTheme="minorEastAsia" w:hAnsiTheme="minorEastAsia" w:hint="eastAsia"/>
          <w:kern w:val="2"/>
          <w:sz w:val="21"/>
          <w:szCs w:val="21"/>
        </w:rPr>
        <w:t>按拟采用</w:t>
      </w:r>
      <w:proofErr w:type="gramEnd"/>
      <w:r w:rsidRPr="00EA0F6B">
        <w:rPr>
          <w:rFonts w:asciiTheme="minorEastAsia" w:eastAsiaTheme="minorEastAsia" w:hAnsiTheme="minorEastAsia" w:hint="eastAsia"/>
          <w:kern w:val="2"/>
          <w:sz w:val="21"/>
          <w:szCs w:val="21"/>
        </w:rPr>
        <w:t>施工方案计算</w:t>
      </w:r>
      <w:proofErr w:type="gramStart"/>
      <w:r w:rsidRPr="00EA0F6B">
        <w:rPr>
          <w:rFonts w:asciiTheme="minorEastAsia" w:eastAsiaTheme="minorEastAsia" w:hAnsiTheme="minorEastAsia" w:hint="eastAsia"/>
          <w:kern w:val="2"/>
          <w:sz w:val="21"/>
          <w:szCs w:val="21"/>
        </w:rPr>
        <w:t>额工程</w:t>
      </w:r>
      <w:proofErr w:type="gramEnd"/>
      <w:r w:rsidRPr="00EA0F6B">
        <w:rPr>
          <w:rFonts w:asciiTheme="minorEastAsia" w:eastAsiaTheme="minorEastAsia" w:hAnsiTheme="minorEastAsia" w:hint="eastAsia"/>
          <w:kern w:val="2"/>
          <w:sz w:val="21"/>
          <w:szCs w:val="21"/>
        </w:rPr>
        <w:t>量</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D.工程量清单标明的工程量</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【答案】D。工程量清单标明的工程量</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【解析】参见教材236页中部的（3）。</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37.某技术方案的净现金流量如下表。则该方案的静态投资回收期为（ ）年。</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现金流量表</w:t>
      </w:r>
    </w:p>
    <w:tbl>
      <w:tblPr>
        <w:tblW w:w="0" w:type="auto"/>
        <w:tblLayout w:type="fixed"/>
        <w:tblCellMar>
          <w:top w:w="15" w:type="dxa"/>
          <w:left w:w="15" w:type="dxa"/>
          <w:bottom w:w="15" w:type="dxa"/>
          <w:right w:w="15" w:type="dxa"/>
        </w:tblCellMar>
        <w:tblLook w:val="0000" w:firstRow="0" w:lastRow="0" w:firstColumn="0" w:lastColumn="0" w:noHBand="0" w:noVBand="0"/>
      </w:tblPr>
      <w:tblGrid>
        <w:gridCol w:w="2192"/>
        <w:gridCol w:w="152"/>
        <w:gridCol w:w="632"/>
        <w:gridCol w:w="392"/>
        <w:gridCol w:w="392"/>
        <w:gridCol w:w="392"/>
        <w:gridCol w:w="392"/>
        <w:gridCol w:w="392"/>
      </w:tblGrid>
      <w:tr w:rsidR="00EA0F6B" w:rsidRPr="00EA0F6B" w:rsidTr="00FE2332">
        <w:tc>
          <w:tcPr>
            <w:tcW w:w="2192" w:type="dxa"/>
            <w:tcBorders>
              <w:top w:val="dashed" w:sz="6" w:space="0" w:color="DDDDDD"/>
              <w:left w:val="dashed" w:sz="6" w:space="0" w:color="DDDDDD"/>
              <w:bottom w:val="dashed" w:sz="6" w:space="0" w:color="DDDDDD"/>
              <w:right w:val="dashed" w:sz="6" w:space="0" w:color="DDDDDD"/>
            </w:tcBorders>
            <w:vAlign w:val="center"/>
          </w:tcPr>
          <w:p w:rsidR="00EA0F6B" w:rsidRPr="00EA0F6B" w:rsidRDefault="00EA0F6B" w:rsidP="00FE2332">
            <w:pPr>
              <w:wordWrap w:val="0"/>
              <w:rPr>
                <w:rFonts w:asciiTheme="minorEastAsia" w:eastAsiaTheme="minorEastAsia" w:hAnsiTheme="minorEastAsia" w:cs="宋体" w:hint="eastAsia"/>
                <w:color w:val="000000"/>
                <w:sz w:val="21"/>
                <w:szCs w:val="21"/>
              </w:rPr>
            </w:pPr>
            <w:r w:rsidRPr="00EA0F6B">
              <w:rPr>
                <w:rFonts w:asciiTheme="minorEastAsia" w:eastAsiaTheme="minorEastAsia" w:hAnsiTheme="minorEastAsia" w:cs="宋体" w:hint="eastAsia"/>
                <w:color w:val="000000"/>
                <w:sz w:val="21"/>
                <w:szCs w:val="21"/>
              </w:rPr>
              <w:t>计算期（年）</w:t>
            </w:r>
          </w:p>
        </w:tc>
        <w:tc>
          <w:tcPr>
            <w:tcW w:w="152" w:type="dxa"/>
            <w:tcBorders>
              <w:top w:val="dashed" w:sz="6" w:space="0" w:color="DDDDDD"/>
              <w:left w:val="dashed" w:sz="6" w:space="0" w:color="DDDDDD"/>
              <w:bottom w:val="dashed" w:sz="6" w:space="0" w:color="DDDDDD"/>
              <w:right w:val="dashed" w:sz="6" w:space="0" w:color="DDDDDD"/>
            </w:tcBorders>
            <w:vAlign w:val="center"/>
          </w:tcPr>
          <w:p w:rsidR="00EA0F6B" w:rsidRPr="00EA0F6B" w:rsidRDefault="00EA0F6B" w:rsidP="00FE2332">
            <w:pPr>
              <w:wordWrap w:val="0"/>
              <w:rPr>
                <w:rFonts w:asciiTheme="minorEastAsia" w:eastAsiaTheme="minorEastAsia" w:hAnsiTheme="minorEastAsia" w:cs="宋体" w:hint="eastAsia"/>
                <w:color w:val="000000"/>
                <w:sz w:val="21"/>
                <w:szCs w:val="21"/>
              </w:rPr>
            </w:pPr>
            <w:r w:rsidRPr="00EA0F6B">
              <w:rPr>
                <w:rFonts w:asciiTheme="minorEastAsia" w:eastAsiaTheme="minorEastAsia" w:hAnsiTheme="minorEastAsia" w:cs="宋体" w:hint="eastAsia"/>
                <w:color w:val="000000"/>
                <w:sz w:val="21"/>
                <w:szCs w:val="21"/>
              </w:rPr>
              <w:t>0</w:t>
            </w:r>
          </w:p>
        </w:tc>
        <w:tc>
          <w:tcPr>
            <w:tcW w:w="632" w:type="dxa"/>
            <w:tcBorders>
              <w:top w:val="dashed" w:sz="6" w:space="0" w:color="DDDDDD"/>
              <w:left w:val="dashed" w:sz="6" w:space="0" w:color="DDDDDD"/>
              <w:bottom w:val="dashed" w:sz="6" w:space="0" w:color="DDDDDD"/>
              <w:right w:val="dashed" w:sz="6" w:space="0" w:color="DDDDDD"/>
            </w:tcBorders>
            <w:vAlign w:val="center"/>
          </w:tcPr>
          <w:p w:rsidR="00EA0F6B" w:rsidRPr="00EA0F6B" w:rsidRDefault="00EA0F6B" w:rsidP="00FE2332">
            <w:pPr>
              <w:wordWrap w:val="0"/>
              <w:rPr>
                <w:rFonts w:asciiTheme="minorEastAsia" w:eastAsiaTheme="minorEastAsia" w:hAnsiTheme="minorEastAsia" w:cs="宋体" w:hint="eastAsia"/>
                <w:color w:val="000000"/>
                <w:sz w:val="21"/>
                <w:szCs w:val="21"/>
              </w:rPr>
            </w:pPr>
            <w:r w:rsidRPr="00EA0F6B">
              <w:rPr>
                <w:rFonts w:asciiTheme="minorEastAsia" w:eastAsiaTheme="minorEastAsia" w:hAnsiTheme="minorEastAsia" w:cs="宋体" w:hint="eastAsia"/>
                <w:color w:val="000000"/>
                <w:sz w:val="21"/>
                <w:szCs w:val="21"/>
              </w:rPr>
              <w:t>1</w:t>
            </w:r>
          </w:p>
        </w:tc>
        <w:tc>
          <w:tcPr>
            <w:tcW w:w="392" w:type="dxa"/>
            <w:tcBorders>
              <w:top w:val="dashed" w:sz="6" w:space="0" w:color="DDDDDD"/>
              <w:left w:val="dashed" w:sz="6" w:space="0" w:color="DDDDDD"/>
              <w:bottom w:val="dashed" w:sz="6" w:space="0" w:color="DDDDDD"/>
              <w:right w:val="dashed" w:sz="6" w:space="0" w:color="DDDDDD"/>
            </w:tcBorders>
            <w:vAlign w:val="center"/>
          </w:tcPr>
          <w:p w:rsidR="00EA0F6B" w:rsidRPr="00EA0F6B" w:rsidRDefault="00EA0F6B" w:rsidP="00FE2332">
            <w:pPr>
              <w:wordWrap w:val="0"/>
              <w:rPr>
                <w:rFonts w:asciiTheme="minorEastAsia" w:eastAsiaTheme="minorEastAsia" w:hAnsiTheme="minorEastAsia" w:cs="宋体" w:hint="eastAsia"/>
                <w:color w:val="000000"/>
                <w:sz w:val="21"/>
                <w:szCs w:val="21"/>
              </w:rPr>
            </w:pPr>
            <w:r w:rsidRPr="00EA0F6B">
              <w:rPr>
                <w:rFonts w:asciiTheme="minorEastAsia" w:eastAsiaTheme="minorEastAsia" w:hAnsiTheme="minorEastAsia" w:cs="宋体" w:hint="eastAsia"/>
                <w:color w:val="000000"/>
                <w:sz w:val="21"/>
                <w:szCs w:val="21"/>
              </w:rPr>
              <w:t>2</w:t>
            </w:r>
          </w:p>
        </w:tc>
        <w:tc>
          <w:tcPr>
            <w:tcW w:w="392" w:type="dxa"/>
            <w:tcBorders>
              <w:top w:val="dashed" w:sz="6" w:space="0" w:color="DDDDDD"/>
              <w:left w:val="dashed" w:sz="6" w:space="0" w:color="DDDDDD"/>
              <w:bottom w:val="dashed" w:sz="6" w:space="0" w:color="DDDDDD"/>
              <w:right w:val="dashed" w:sz="6" w:space="0" w:color="DDDDDD"/>
            </w:tcBorders>
            <w:vAlign w:val="center"/>
          </w:tcPr>
          <w:p w:rsidR="00EA0F6B" w:rsidRPr="00EA0F6B" w:rsidRDefault="00EA0F6B" w:rsidP="00FE2332">
            <w:pPr>
              <w:wordWrap w:val="0"/>
              <w:rPr>
                <w:rFonts w:asciiTheme="minorEastAsia" w:eastAsiaTheme="minorEastAsia" w:hAnsiTheme="minorEastAsia" w:cs="宋体" w:hint="eastAsia"/>
                <w:color w:val="000000"/>
                <w:sz w:val="21"/>
                <w:szCs w:val="21"/>
              </w:rPr>
            </w:pPr>
            <w:r w:rsidRPr="00EA0F6B">
              <w:rPr>
                <w:rFonts w:asciiTheme="minorEastAsia" w:eastAsiaTheme="minorEastAsia" w:hAnsiTheme="minorEastAsia" w:cs="宋体" w:hint="eastAsia"/>
                <w:color w:val="000000"/>
                <w:sz w:val="21"/>
                <w:szCs w:val="21"/>
              </w:rPr>
              <w:t>3</w:t>
            </w:r>
          </w:p>
        </w:tc>
        <w:tc>
          <w:tcPr>
            <w:tcW w:w="392" w:type="dxa"/>
            <w:tcBorders>
              <w:top w:val="dashed" w:sz="6" w:space="0" w:color="DDDDDD"/>
              <w:left w:val="dashed" w:sz="6" w:space="0" w:color="DDDDDD"/>
              <w:bottom w:val="dashed" w:sz="6" w:space="0" w:color="DDDDDD"/>
              <w:right w:val="dashed" w:sz="6" w:space="0" w:color="DDDDDD"/>
            </w:tcBorders>
            <w:vAlign w:val="center"/>
          </w:tcPr>
          <w:p w:rsidR="00EA0F6B" w:rsidRPr="00EA0F6B" w:rsidRDefault="00EA0F6B" w:rsidP="00FE2332">
            <w:pPr>
              <w:wordWrap w:val="0"/>
              <w:rPr>
                <w:rFonts w:asciiTheme="minorEastAsia" w:eastAsiaTheme="minorEastAsia" w:hAnsiTheme="minorEastAsia" w:cs="宋体" w:hint="eastAsia"/>
                <w:color w:val="000000"/>
                <w:sz w:val="21"/>
                <w:szCs w:val="21"/>
              </w:rPr>
            </w:pPr>
            <w:r w:rsidRPr="00EA0F6B">
              <w:rPr>
                <w:rFonts w:asciiTheme="minorEastAsia" w:eastAsiaTheme="minorEastAsia" w:hAnsiTheme="minorEastAsia" w:cs="宋体" w:hint="eastAsia"/>
                <w:color w:val="000000"/>
                <w:sz w:val="21"/>
                <w:szCs w:val="21"/>
              </w:rPr>
              <w:t>4</w:t>
            </w:r>
          </w:p>
        </w:tc>
        <w:tc>
          <w:tcPr>
            <w:tcW w:w="392" w:type="dxa"/>
            <w:tcBorders>
              <w:top w:val="dashed" w:sz="6" w:space="0" w:color="DDDDDD"/>
              <w:left w:val="dashed" w:sz="6" w:space="0" w:color="DDDDDD"/>
              <w:bottom w:val="dashed" w:sz="6" w:space="0" w:color="DDDDDD"/>
              <w:right w:val="dashed" w:sz="6" w:space="0" w:color="DDDDDD"/>
            </w:tcBorders>
            <w:vAlign w:val="center"/>
          </w:tcPr>
          <w:p w:rsidR="00EA0F6B" w:rsidRPr="00EA0F6B" w:rsidRDefault="00EA0F6B" w:rsidP="00FE2332">
            <w:pPr>
              <w:wordWrap w:val="0"/>
              <w:rPr>
                <w:rFonts w:asciiTheme="minorEastAsia" w:eastAsiaTheme="minorEastAsia" w:hAnsiTheme="minorEastAsia" w:cs="宋体" w:hint="eastAsia"/>
                <w:color w:val="000000"/>
                <w:sz w:val="21"/>
                <w:szCs w:val="21"/>
              </w:rPr>
            </w:pPr>
            <w:r w:rsidRPr="00EA0F6B">
              <w:rPr>
                <w:rFonts w:asciiTheme="minorEastAsia" w:eastAsiaTheme="minorEastAsia" w:hAnsiTheme="minorEastAsia" w:cs="宋体" w:hint="eastAsia"/>
                <w:color w:val="000000"/>
                <w:sz w:val="21"/>
                <w:szCs w:val="21"/>
              </w:rPr>
              <w:t>5</w:t>
            </w:r>
          </w:p>
        </w:tc>
        <w:tc>
          <w:tcPr>
            <w:tcW w:w="392" w:type="dxa"/>
            <w:tcBorders>
              <w:top w:val="dashed" w:sz="6" w:space="0" w:color="DDDDDD"/>
              <w:left w:val="dashed" w:sz="6" w:space="0" w:color="DDDDDD"/>
              <w:bottom w:val="dashed" w:sz="6" w:space="0" w:color="DDDDDD"/>
              <w:right w:val="dashed" w:sz="6" w:space="0" w:color="DDDDDD"/>
            </w:tcBorders>
            <w:vAlign w:val="center"/>
          </w:tcPr>
          <w:p w:rsidR="00EA0F6B" w:rsidRPr="00EA0F6B" w:rsidRDefault="00EA0F6B" w:rsidP="00FE2332">
            <w:pPr>
              <w:wordWrap w:val="0"/>
              <w:rPr>
                <w:rFonts w:asciiTheme="minorEastAsia" w:eastAsiaTheme="minorEastAsia" w:hAnsiTheme="minorEastAsia" w:cs="宋体" w:hint="eastAsia"/>
                <w:color w:val="000000"/>
                <w:sz w:val="21"/>
                <w:szCs w:val="21"/>
              </w:rPr>
            </w:pPr>
            <w:r w:rsidRPr="00EA0F6B">
              <w:rPr>
                <w:rFonts w:asciiTheme="minorEastAsia" w:eastAsiaTheme="minorEastAsia" w:hAnsiTheme="minorEastAsia" w:cs="宋体" w:hint="eastAsia"/>
                <w:color w:val="000000"/>
                <w:sz w:val="21"/>
                <w:szCs w:val="21"/>
              </w:rPr>
              <w:t>6</w:t>
            </w:r>
          </w:p>
        </w:tc>
      </w:tr>
      <w:tr w:rsidR="00EA0F6B" w:rsidRPr="00EA0F6B" w:rsidTr="00FE2332">
        <w:tc>
          <w:tcPr>
            <w:tcW w:w="2192" w:type="dxa"/>
            <w:tcBorders>
              <w:top w:val="dashed" w:sz="6" w:space="0" w:color="DDDDDD"/>
              <w:left w:val="dashed" w:sz="6" w:space="0" w:color="DDDDDD"/>
              <w:bottom w:val="dashed" w:sz="6" w:space="0" w:color="DDDDDD"/>
              <w:right w:val="dashed" w:sz="6" w:space="0" w:color="DDDDDD"/>
            </w:tcBorders>
            <w:vAlign w:val="center"/>
          </w:tcPr>
          <w:p w:rsidR="00EA0F6B" w:rsidRPr="00EA0F6B" w:rsidRDefault="00EA0F6B" w:rsidP="00FE2332">
            <w:pPr>
              <w:wordWrap w:val="0"/>
              <w:rPr>
                <w:rFonts w:asciiTheme="minorEastAsia" w:eastAsiaTheme="minorEastAsia" w:hAnsiTheme="minorEastAsia" w:cs="宋体" w:hint="eastAsia"/>
                <w:color w:val="000000"/>
                <w:sz w:val="21"/>
                <w:szCs w:val="21"/>
              </w:rPr>
            </w:pPr>
            <w:r w:rsidRPr="00EA0F6B">
              <w:rPr>
                <w:rFonts w:asciiTheme="minorEastAsia" w:eastAsiaTheme="minorEastAsia" w:hAnsiTheme="minorEastAsia" w:cs="宋体" w:hint="eastAsia"/>
                <w:color w:val="000000"/>
                <w:sz w:val="21"/>
                <w:szCs w:val="21"/>
              </w:rPr>
              <w:t>净现金流量（万元）</w:t>
            </w:r>
          </w:p>
        </w:tc>
        <w:tc>
          <w:tcPr>
            <w:tcW w:w="152" w:type="dxa"/>
            <w:tcBorders>
              <w:top w:val="dashed" w:sz="6" w:space="0" w:color="DDDDDD"/>
              <w:left w:val="dashed" w:sz="6" w:space="0" w:color="DDDDDD"/>
              <w:bottom w:val="dashed" w:sz="6" w:space="0" w:color="DDDDDD"/>
              <w:right w:val="dashed" w:sz="6" w:space="0" w:color="DDDDDD"/>
            </w:tcBorders>
            <w:vAlign w:val="center"/>
          </w:tcPr>
          <w:p w:rsidR="00EA0F6B" w:rsidRPr="00EA0F6B" w:rsidRDefault="00EA0F6B" w:rsidP="00FE2332">
            <w:pPr>
              <w:wordWrap w:val="0"/>
              <w:rPr>
                <w:rFonts w:asciiTheme="minorEastAsia" w:eastAsiaTheme="minorEastAsia" w:hAnsiTheme="minorEastAsia" w:cs="宋体" w:hint="eastAsia"/>
                <w:color w:val="000000"/>
                <w:sz w:val="21"/>
                <w:szCs w:val="21"/>
              </w:rPr>
            </w:pPr>
            <w:r w:rsidRPr="00EA0F6B">
              <w:rPr>
                <w:rFonts w:asciiTheme="minorEastAsia" w:eastAsiaTheme="minorEastAsia" w:hAnsiTheme="minorEastAsia" w:cs="宋体" w:hint="eastAsia"/>
                <w:color w:val="000000"/>
                <w:sz w:val="21"/>
                <w:szCs w:val="21"/>
              </w:rPr>
              <w:t>-</w:t>
            </w:r>
          </w:p>
        </w:tc>
        <w:tc>
          <w:tcPr>
            <w:tcW w:w="632" w:type="dxa"/>
            <w:tcBorders>
              <w:top w:val="dashed" w:sz="6" w:space="0" w:color="DDDDDD"/>
              <w:left w:val="dashed" w:sz="6" w:space="0" w:color="DDDDDD"/>
              <w:bottom w:val="dashed" w:sz="6" w:space="0" w:color="DDDDDD"/>
              <w:right w:val="dashed" w:sz="6" w:space="0" w:color="DDDDDD"/>
            </w:tcBorders>
            <w:vAlign w:val="center"/>
          </w:tcPr>
          <w:p w:rsidR="00EA0F6B" w:rsidRPr="00EA0F6B" w:rsidRDefault="00EA0F6B" w:rsidP="00FE2332">
            <w:pPr>
              <w:wordWrap w:val="0"/>
              <w:rPr>
                <w:rFonts w:asciiTheme="minorEastAsia" w:eastAsiaTheme="minorEastAsia" w:hAnsiTheme="minorEastAsia" w:cs="宋体" w:hint="eastAsia"/>
                <w:color w:val="000000"/>
                <w:sz w:val="21"/>
                <w:szCs w:val="21"/>
              </w:rPr>
            </w:pPr>
            <w:r w:rsidRPr="00EA0F6B">
              <w:rPr>
                <w:rFonts w:asciiTheme="minorEastAsia" w:eastAsiaTheme="minorEastAsia" w:hAnsiTheme="minorEastAsia" w:cs="宋体" w:hint="eastAsia"/>
                <w:color w:val="000000"/>
                <w:sz w:val="21"/>
                <w:szCs w:val="21"/>
              </w:rPr>
              <w:t>-1500</w:t>
            </w:r>
          </w:p>
        </w:tc>
        <w:tc>
          <w:tcPr>
            <w:tcW w:w="392" w:type="dxa"/>
            <w:tcBorders>
              <w:top w:val="dashed" w:sz="6" w:space="0" w:color="DDDDDD"/>
              <w:left w:val="dashed" w:sz="6" w:space="0" w:color="DDDDDD"/>
              <w:bottom w:val="dashed" w:sz="6" w:space="0" w:color="DDDDDD"/>
              <w:right w:val="dashed" w:sz="6" w:space="0" w:color="DDDDDD"/>
            </w:tcBorders>
            <w:vAlign w:val="center"/>
          </w:tcPr>
          <w:p w:rsidR="00EA0F6B" w:rsidRPr="00EA0F6B" w:rsidRDefault="00EA0F6B" w:rsidP="00FE2332">
            <w:pPr>
              <w:wordWrap w:val="0"/>
              <w:rPr>
                <w:rFonts w:asciiTheme="minorEastAsia" w:eastAsiaTheme="minorEastAsia" w:hAnsiTheme="minorEastAsia" w:cs="宋体" w:hint="eastAsia"/>
                <w:color w:val="000000"/>
                <w:sz w:val="21"/>
                <w:szCs w:val="21"/>
              </w:rPr>
            </w:pPr>
            <w:r w:rsidRPr="00EA0F6B">
              <w:rPr>
                <w:rFonts w:asciiTheme="minorEastAsia" w:eastAsiaTheme="minorEastAsia" w:hAnsiTheme="minorEastAsia" w:cs="宋体" w:hint="eastAsia"/>
                <w:color w:val="000000"/>
                <w:sz w:val="21"/>
                <w:szCs w:val="21"/>
              </w:rPr>
              <w:t>400</w:t>
            </w:r>
          </w:p>
        </w:tc>
        <w:tc>
          <w:tcPr>
            <w:tcW w:w="392" w:type="dxa"/>
            <w:tcBorders>
              <w:top w:val="dashed" w:sz="6" w:space="0" w:color="DDDDDD"/>
              <w:left w:val="dashed" w:sz="6" w:space="0" w:color="DDDDDD"/>
              <w:bottom w:val="dashed" w:sz="6" w:space="0" w:color="DDDDDD"/>
              <w:right w:val="dashed" w:sz="6" w:space="0" w:color="DDDDDD"/>
            </w:tcBorders>
            <w:vAlign w:val="center"/>
          </w:tcPr>
          <w:p w:rsidR="00EA0F6B" w:rsidRPr="00EA0F6B" w:rsidRDefault="00EA0F6B" w:rsidP="00FE2332">
            <w:pPr>
              <w:wordWrap w:val="0"/>
              <w:rPr>
                <w:rFonts w:asciiTheme="minorEastAsia" w:eastAsiaTheme="minorEastAsia" w:hAnsiTheme="minorEastAsia" w:cs="宋体" w:hint="eastAsia"/>
                <w:color w:val="000000"/>
                <w:sz w:val="21"/>
                <w:szCs w:val="21"/>
              </w:rPr>
            </w:pPr>
            <w:r w:rsidRPr="00EA0F6B">
              <w:rPr>
                <w:rFonts w:asciiTheme="minorEastAsia" w:eastAsiaTheme="minorEastAsia" w:hAnsiTheme="minorEastAsia" w:cs="宋体" w:hint="eastAsia"/>
                <w:color w:val="000000"/>
                <w:sz w:val="21"/>
                <w:szCs w:val="21"/>
              </w:rPr>
              <w:t>400</w:t>
            </w:r>
          </w:p>
        </w:tc>
        <w:tc>
          <w:tcPr>
            <w:tcW w:w="392" w:type="dxa"/>
            <w:tcBorders>
              <w:top w:val="dashed" w:sz="6" w:space="0" w:color="DDDDDD"/>
              <w:left w:val="dashed" w:sz="6" w:space="0" w:color="DDDDDD"/>
              <w:bottom w:val="dashed" w:sz="6" w:space="0" w:color="DDDDDD"/>
              <w:right w:val="dashed" w:sz="6" w:space="0" w:color="DDDDDD"/>
            </w:tcBorders>
            <w:vAlign w:val="center"/>
          </w:tcPr>
          <w:p w:rsidR="00EA0F6B" w:rsidRPr="00EA0F6B" w:rsidRDefault="00EA0F6B" w:rsidP="00FE2332">
            <w:pPr>
              <w:wordWrap w:val="0"/>
              <w:rPr>
                <w:rFonts w:asciiTheme="minorEastAsia" w:eastAsiaTheme="minorEastAsia" w:hAnsiTheme="minorEastAsia" w:cs="宋体" w:hint="eastAsia"/>
                <w:color w:val="000000"/>
                <w:sz w:val="21"/>
                <w:szCs w:val="21"/>
              </w:rPr>
            </w:pPr>
            <w:r w:rsidRPr="00EA0F6B">
              <w:rPr>
                <w:rFonts w:asciiTheme="minorEastAsia" w:eastAsiaTheme="minorEastAsia" w:hAnsiTheme="minorEastAsia" w:cs="宋体" w:hint="eastAsia"/>
                <w:color w:val="000000"/>
                <w:sz w:val="21"/>
                <w:szCs w:val="21"/>
              </w:rPr>
              <w:t>400</w:t>
            </w:r>
          </w:p>
        </w:tc>
        <w:tc>
          <w:tcPr>
            <w:tcW w:w="392" w:type="dxa"/>
            <w:tcBorders>
              <w:top w:val="dashed" w:sz="6" w:space="0" w:color="DDDDDD"/>
              <w:left w:val="dashed" w:sz="6" w:space="0" w:color="DDDDDD"/>
              <w:bottom w:val="dashed" w:sz="6" w:space="0" w:color="DDDDDD"/>
              <w:right w:val="dashed" w:sz="6" w:space="0" w:color="DDDDDD"/>
            </w:tcBorders>
            <w:vAlign w:val="center"/>
          </w:tcPr>
          <w:p w:rsidR="00EA0F6B" w:rsidRPr="00EA0F6B" w:rsidRDefault="00EA0F6B" w:rsidP="00FE2332">
            <w:pPr>
              <w:wordWrap w:val="0"/>
              <w:rPr>
                <w:rFonts w:asciiTheme="minorEastAsia" w:eastAsiaTheme="minorEastAsia" w:hAnsiTheme="minorEastAsia" w:cs="宋体" w:hint="eastAsia"/>
                <w:color w:val="000000"/>
                <w:sz w:val="21"/>
                <w:szCs w:val="21"/>
              </w:rPr>
            </w:pPr>
            <w:r w:rsidRPr="00EA0F6B">
              <w:rPr>
                <w:rFonts w:asciiTheme="minorEastAsia" w:eastAsiaTheme="minorEastAsia" w:hAnsiTheme="minorEastAsia" w:cs="宋体" w:hint="eastAsia"/>
                <w:color w:val="000000"/>
                <w:sz w:val="21"/>
                <w:szCs w:val="21"/>
              </w:rPr>
              <w:t>400</w:t>
            </w:r>
          </w:p>
        </w:tc>
        <w:tc>
          <w:tcPr>
            <w:tcW w:w="392" w:type="dxa"/>
            <w:tcBorders>
              <w:top w:val="dashed" w:sz="6" w:space="0" w:color="DDDDDD"/>
              <w:left w:val="dashed" w:sz="6" w:space="0" w:color="DDDDDD"/>
              <w:bottom w:val="dashed" w:sz="6" w:space="0" w:color="DDDDDD"/>
              <w:right w:val="dashed" w:sz="6" w:space="0" w:color="DDDDDD"/>
            </w:tcBorders>
            <w:vAlign w:val="center"/>
          </w:tcPr>
          <w:p w:rsidR="00EA0F6B" w:rsidRPr="00EA0F6B" w:rsidRDefault="00EA0F6B" w:rsidP="00FE2332">
            <w:pPr>
              <w:wordWrap w:val="0"/>
              <w:rPr>
                <w:rFonts w:asciiTheme="minorEastAsia" w:eastAsiaTheme="minorEastAsia" w:hAnsiTheme="minorEastAsia" w:cs="宋体" w:hint="eastAsia"/>
                <w:color w:val="000000"/>
                <w:sz w:val="21"/>
                <w:szCs w:val="21"/>
              </w:rPr>
            </w:pPr>
            <w:r w:rsidRPr="00EA0F6B">
              <w:rPr>
                <w:rFonts w:asciiTheme="minorEastAsia" w:eastAsiaTheme="minorEastAsia" w:hAnsiTheme="minorEastAsia" w:cs="宋体" w:hint="eastAsia"/>
                <w:color w:val="000000"/>
                <w:sz w:val="21"/>
                <w:szCs w:val="21"/>
              </w:rPr>
              <w:t>400</w:t>
            </w:r>
          </w:p>
        </w:tc>
      </w:tr>
    </w:tbl>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A.3.25</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B.3.75</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C.4.25</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D.4.75</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【答案】D。4.75</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【解析】参见教材23页的表例，投资应该在第一年年末。</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38.企业从银行取得一笔长期借款2000万元，年利率8%，期限3年，每年末结息一次，到期一次还本，借款手续费率0.2%，企业所得税率25%，则该笔借款的资金成本率为（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A.6.00%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B.8.02%</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C.6.01%</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D.8.20%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【答案】C。6.01%</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【解析】8%（1-25%）/（1-0.2%）=6.01%。</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39.设计概算是设计单位编制和确定的建设工程项目从筹建至（ ）所需全部费用的文件。</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A.办理完竣工结算</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B.竣工交付使用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C.项目报废</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D.施工保修期满</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【答案】B。竣工交付使用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【解析】参见教材195页中上部分。</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40.某施工企业年度工程结算收入为3000万元，营业成本和营业税金及附加为2300万元，管理费用为200万元，财务费用为100万元，其他业务收入为200万元，投资收益为150万元，营业外收入为100万元，营业外支出为80万元，所得税为100万元，则企业营业利润为（ ）万元。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A.500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B.520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C.670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D.750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【答案】D。750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【解析】3000-2300-200-100+200+150=750（万元）。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41.根据我国现行《企业会计准则》，企业在资产负债表日或之前违反了长期借款协议，导致贷款人可随时要求清偿的债务，在资产负债表中应当归类为（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A.非流动负债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B.长期应付款</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C.流动负债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D.长期借款</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【答案】C。流动负债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【解析】参见教材124页，属于</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企业无权清偿期推迟至一年以上</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42.设备融资租赁与经营租赁的主要不同点是（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A.租金的支付方式</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B.可用于租赁的设备</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C.租赁双方的根本目的</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D.租赁双方承担义务的约束力</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【答案】D。租赁双方承担义务的约束力</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【解析】参见教材60页中下部分的表述。</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43.关于设备技术寿命的说法，正确的是（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A.完全未使用的设备技术寿命不可能等于零</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B.设备的技术寿命一般短于自然寿命</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C.科学技术进步越快，设备的技术寿命越长</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D.设备的技术寿命主要有其有形磨损决定</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【答案】B。设备的技术寿命一般短于设备的自然寿命</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【解析】参见教材56页倒数第二段倒数第三行。</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44.某施工现场钢筋加工有两个方案，均不需要增加投资，采用甲方案需固定费用50万元，每吨钢筋加工的可变费用是300元；采用乙方案需固定费用90万元，每吨钢筋加工的可变费用是250元,。现场需加工钢筋1万吨，如果用折算费用法选择方案，则（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A.应该选用乙方案</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B.应该选用甲方案</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C.甲乙两个方案在经济上均不可行</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D.甲乙两个方案的费用相同</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【答案】A。应该选用乙方案</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【解析】甲方案折算费用=50+300*1=350（万元）；乙方案折算费用=90+250*1=340（万元），故应该选择乙方案。</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45.根据《建设工程工程量清单计价规范》（GB 50500</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2008）编制施工图预算时，</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分项工程量×相应单价</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计算得到的价款中已经包含（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A.措施费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B.管理费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C.税金</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w:t>
      </w:r>
      <w:proofErr w:type="gramStart"/>
      <w:r w:rsidRPr="00EA0F6B">
        <w:rPr>
          <w:rFonts w:asciiTheme="minorEastAsia" w:eastAsiaTheme="minorEastAsia" w:hAnsiTheme="minorEastAsia" w:hint="eastAsia"/>
          <w:kern w:val="2"/>
          <w:sz w:val="21"/>
          <w:szCs w:val="21"/>
        </w:rPr>
        <w:t>规</w:t>
      </w:r>
      <w:proofErr w:type="gramEnd"/>
      <w:r w:rsidRPr="00EA0F6B">
        <w:rPr>
          <w:rFonts w:asciiTheme="minorEastAsia" w:eastAsiaTheme="minorEastAsia" w:hAnsiTheme="minorEastAsia" w:hint="eastAsia"/>
          <w:kern w:val="2"/>
          <w:sz w:val="21"/>
          <w:szCs w:val="21"/>
        </w:rPr>
        <w:t>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【答案】B。管理费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【解析】综合单价中包含了管理费和利润，参见教材228页倒数第六行。</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46.因修改涉及导致现场停工而引起施工索赔时，承包商自有施工机械的索赔费用宜按机械（）计算。</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A.租赁费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B.台班费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C.折旧费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D.大修理费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【答案】C。折旧费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【解析】参见教材253页第三段。</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47.价值工程活动中，计算产品成品的方法是以产品（）为中心分析成本的事前成本计算方法。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A.功能</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B.质量</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C.价格</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D.性能</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【答案】A。功能</w:t>
      </w:r>
    </w:p>
    <w:p w:rsidR="00EA0F6B" w:rsidRPr="00EA0F6B" w:rsidRDefault="00EA0F6B" w:rsidP="00EA0F6B">
      <w:pPr>
        <w:widowControl w:val="0"/>
        <w:autoSpaceDE w:val="0"/>
        <w:autoSpaceDN w:val="0"/>
        <w:rPr>
          <w:rFonts w:asciiTheme="minorEastAsia" w:eastAsiaTheme="minorEastAsia" w:hAnsiTheme="minorEastAsia"/>
          <w:kern w:val="2"/>
          <w:sz w:val="21"/>
          <w:szCs w:val="21"/>
        </w:rPr>
      </w:pPr>
      <w:r w:rsidRPr="00EA0F6B">
        <w:rPr>
          <w:rFonts w:asciiTheme="minorEastAsia" w:eastAsiaTheme="minorEastAsia" w:hAnsiTheme="minorEastAsia" w:hint="eastAsia"/>
          <w:kern w:val="2"/>
          <w:sz w:val="21"/>
          <w:szCs w:val="21"/>
        </w:rPr>
        <w:t>【解析】参见教材73页下部分一段的最后一句</w:t>
      </w:r>
      <w:proofErr w:type="gramStart"/>
      <w:r w:rsidRPr="00EA0F6B">
        <w:rPr>
          <w:rFonts w:asciiTheme="minorEastAsia" w:eastAsiaTheme="minorEastAsia" w:hAnsiTheme="minorEastAsia"/>
          <w:kern w:val="2"/>
          <w:sz w:val="21"/>
          <w:szCs w:val="21"/>
        </w:rPr>
        <w:t>“</w:t>
      </w:r>
      <w:proofErr w:type="gramEnd"/>
      <w:r w:rsidRPr="00EA0F6B">
        <w:rPr>
          <w:rFonts w:asciiTheme="minorEastAsia" w:eastAsiaTheme="minorEastAsia" w:hAnsiTheme="minorEastAsia" w:hint="eastAsia"/>
          <w:kern w:val="2"/>
          <w:sz w:val="21"/>
          <w:szCs w:val="21"/>
        </w:rPr>
        <w:t>因此……</w:t>
      </w:r>
      <w:proofErr w:type="gramStart"/>
      <w:r w:rsidRPr="00EA0F6B">
        <w:rPr>
          <w:rFonts w:asciiTheme="minorEastAsia" w:eastAsiaTheme="minorEastAsia" w:hAnsiTheme="minorEastAsia" w:hint="eastAsia"/>
          <w:kern w:val="2"/>
          <w:sz w:val="21"/>
          <w:szCs w:val="21"/>
        </w:rPr>
        <w:t>……</w:t>
      </w:r>
      <w:proofErr w:type="gramEnd"/>
      <w:r w:rsidRPr="00EA0F6B">
        <w:rPr>
          <w:rFonts w:asciiTheme="minorEastAsia" w:eastAsiaTheme="minorEastAsia" w:hAnsiTheme="minorEastAsia"/>
          <w:kern w:val="2"/>
          <w:sz w:val="21"/>
          <w:szCs w:val="21"/>
        </w:rPr>
        <w:t>“</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48.施工企业从银行借款50万元用作工程的投标保证金，该借款产生的利息属于（）</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A.营业外支出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B.期间费用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C.资本性支出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D.投资性支出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【答案】B。期间费用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【解析】借入的投标保证金，实际上是融资成本的一部分，应该计入财务费用。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49.根据我国《企业会计准则》，某施工企业2012年3月收到建设单位支付的2011年完工工程的结算款200万元，则该笔款项在会计核算上正确的处理方式是计入（）</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A.2012年的收入</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B.2012年的负债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C.2011年的负债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D.2011年的收入</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【答案】D。2011年的收入</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【解析】注意是施工单位收到……，所以应该是收入；并且要符合权责发生制，应该是2011年收入。</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50.根据我国现行《企业会计准则》，不能列入工程成本支出的是（）</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A.处置固定资产的净损失</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B.生产所耗用的人工费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C.生产所耗用的材料费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D.企业下属的施工单位为组织和管理施工生产活动所发生的费用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【答案】A。处置固定资产的净损失</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【解析】处置固定资产的净损失应该列入营业外支出。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51.企业应收账款管理中，可以通过</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5C</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系统对顾客的（）进行评估。</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A.资产状况</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B.信用品质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C.偿债能力</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D.盈利能力</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【答案】B。信用品质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w:t>
      </w:r>
      <w:proofErr w:type="gramStart"/>
      <w:r w:rsidRPr="00EA0F6B">
        <w:rPr>
          <w:rFonts w:asciiTheme="minorEastAsia" w:eastAsiaTheme="minorEastAsia" w:hAnsiTheme="minorEastAsia"/>
          <w:kern w:val="2"/>
          <w:sz w:val="21"/>
          <w:szCs w:val="21"/>
        </w:rPr>
        <w:t>“</w:t>
      </w:r>
      <w:proofErr w:type="gramEnd"/>
      <w:r w:rsidRPr="00EA0F6B">
        <w:rPr>
          <w:rFonts w:asciiTheme="minorEastAsia" w:eastAsiaTheme="minorEastAsia" w:hAnsiTheme="minorEastAsia" w:hint="eastAsia"/>
          <w:kern w:val="2"/>
          <w:sz w:val="21"/>
          <w:szCs w:val="21"/>
        </w:rPr>
        <w:t>5C</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系统包括品质、能力、条件、资本和抵押，参见教材149页。</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52.某施工企业制定了如下表的四种现金持有方案（单位：元）。从成本分析的角度来看，该企业最佳的现金持有量为（）元。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现金持有方案及相关成本</w:t>
      </w:r>
    </w:p>
    <w:tbl>
      <w:tblPr>
        <w:tblW w:w="0" w:type="auto"/>
        <w:tblCellSpacing w:w="7" w:type="dxa"/>
        <w:tblInd w:w="-1" w:type="dxa"/>
        <w:shd w:val="clear" w:color="auto" w:fill="000000"/>
        <w:tblLayout w:type="fixed"/>
        <w:tblCellMar>
          <w:top w:w="15" w:type="dxa"/>
          <w:left w:w="15" w:type="dxa"/>
          <w:bottom w:w="15" w:type="dxa"/>
          <w:right w:w="15" w:type="dxa"/>
        </w:tblCellMar>
        <w:tblLook w:val="0000" w:firstRow="0" w:lastRow="0" w:firstColumn="0" w:lastColumn="0" w:noHBand="0" w:noVBand="0"/>
      </w:tblPr>
      <w:tblGrid>
        <w:gridCol w:w="1663"/>
        <w:gridCol w:w="1670"/>
        <w:gridCol w:w="1670"/>
        <w:gridCol w:w="1675"/>
        <w:gridCol w:w="1682"/>
      </w:tblGrid>
      <w:tr w:rsidR="00EA0F6B" w:rsidRPr="00EA0F6B" w:rsidTr="00FE2332">
        <w:trPr>
          <w:tblCellSpacing w:w="7" w:type="dxa"/>
        </w:trPr>
        <w:tc>
          <w:tcPr>
            <w:tcW w:w="1642"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现金持有量</w:t>
            </w:r>
          </w:p>
        </w:tc>
        <w:tc>
          <w:tcPr>
            <w:tcW w:w="1656"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60000</w:t>
            </w:r>
          </w:p>
        </w:tc>
        <w:tc>
          <w:tcPr>
            <w:tcW w:w="1656"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80000</w:t>
            </w:r>
          </w:p>
        </w:tc>
        <w:tc>
          <w:tcPr>
            <w:tcW w:w="1661"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100000</w:t>
            </w:r>
          </w:p>
        </w:tc>
        <w:tc>
          <w:tcPr>
            <w:tcW w:w="1661"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110000</w:t>
            </w:r>
          </w:p>
        </w:tc>
      </w:tr>
      <w:tr w:rsidR="00EA0F6B" w:rsidRPr="00EA0F6B" w:rsidTr="00FE2332">
        <w:trPr>
          <w:tblCellSpacing w:w="7" w:type="dxa"/>
        </w:trPr>
        <w:tc>
          <w:tcPr>
            <w:tcW w:w="1642"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机会成本</w:t>
            </w:r>
          </w:p>
        </w:tc>
        <w:tc>
          <w:tcPr>
            <w:tcW w:w="1656"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6000</w:t>
            </w:r>
          </w:p>
        </w:tc>
        <w:tc>
          <w:tcPr>
            <w:tcW w:w="1656"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7000</w:t>
            </w:r>
          </w:p>
        </w:tc>
        <w:tc>
          <w:tcPr>
            <w:tcW w:w="1661"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7500</w:t>
            </w:r>
          </w:p>
        </w:tc>
        <w:tc>
          <w:tcPr>
            <w:tcW w:w="1661"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8000</w:t>
            </w:r>
          </w:p>
        </w:tc>
      </w:tr>
      <w:tr w:rsidR="00EA0F6B" w:rsidRPr="00EA0F6B" w:rsidTr="00FE2332">
        <w:trPr>
          <w:tblCellSpacing w:w="7" w:type="dxa"/>
        </w:trPr>
        <w:tc>
          <w:tcPr>
            <w:tcW w:w="1642"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lastRenderedPageBreak/>
              <w:t>管理成本</w:t>
            </w:r>
          </w:p>
        </w:tc>
        <w:tc>
          <w:tcPr>
            <w:tcW w:w="1656"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3000</w:t>
            </w:r>
          </w:p>
        </w:tc>
        <w:tc>
          <w:tcPr>
            <w:tcW w:w="1656"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3000</w:t>
            </w:r>
          </w:p>
        </w:tc>
        <w:tc>
          <w:tcPr>
            <w:tcW w:w="1661"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3000</w:t>
            </w:r>
          </w:p>
        </w:tc>
        <w:tc>
          <w:tcPr>
            <w:tcW w:w="1661"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3000</w:t>
            </w:r>
          </w:p>
        </w:tc>
      </w:tr>
      <w:tr w:rsidR="00EA0F6B" w:rsidRPr="00EA0F6B" w:rsidTr="00FE2332">
        <w:trPr>
          <w:tblCellSpacing w:w="7" w:type="dxa"/>
        </w:trPr>
        <w:tc>
          <w:tcPr>
            <w:tcW w:w="1642"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短缺成本</w:t>
            </w:r>
          </w:p>
        </w:tc>
        <w:tc>
          <w:tcPr>
            <w:tcW w:w="1656"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5000</w:t>
            </w:r>
          </w:p>
        </w:tc>
        <w:tc>
          <w:tcPr>
            <w:tcW w:w="1656"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4000</w:t>
            </w:r>
          </w:p>
        </w:tc>
        <w:tc>
          <w:tcPr>
            <w:tcW w:w="1661"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3000</w:t>
            </w:r>
          </w:p>
        </w:tc>
        <w:tc>
          <w:tcPr>
            <w:tcW w:w="1661" w:type="dxa"/>
            <w:shd w:val="clear" w:color="auto" w:fill="FFFFFF"/>
            <w:vAlign w:val="center"/>
          </w:tcPr>
          <w:p w:rsidR="00EA0F6B" w:rsidRPr="00EA0F6B" w:rsidRDefault="00EA0F6B" w:rsidP="00FE2332">
            <w:pPr>
              <w:shd w:val="clear" w:color="auto" w:fill="FFFFFF"/>
              <w:spacing w:line="390" w:lineRule="atLeast"/>
              <w:rPr>
                <w:rFonts w:asciiTheme="minorEastAsia" w:eastAsiaTheme="minorEastAsia" w:hAnsiTheme="minorEastAsia" w:cs="宋体" w:hint="eastAsia"/>
                <w:color w:val="333333"/>
                <w:sz w:val="21"/>
                <w:szCs w:val="21"/>
              </w:rPr>
            </w:pPr>
            <w:r w:rsidRPr="00EA0F6B">
              <w:rPr>
                <w:rFonts w:asciiTheme="minorEastAsia" w:eastAsiaTheme="minorEastAsia" w:hAnsiTheme="minorEastAsia" w:cs="宋体" w:hint="eastAsia"/>
                <w:color w:val="333333"/>
                <w:sz w:val="21"/>
                <w:szCs w:val="21"/>
              </w:rPr>
              <w:t>2000</w:t>
            </w:r>
          </w:p>
        </w:tc>
      </w:tr>
    </w:tbl>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A.60000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B.80000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C.100000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D.110000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【答案】D。11000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【解析】持有的总成本即为机会成本、管理成本和短缺成本之和，最小的方案最优。</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53.根据《建设工程工程量清单计价规范》（GB50500</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2008），投标时可由投标企业根据其施工组织设计自主报价的是（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A.安全文明施工费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B.大型机械设备进出场及</w:t>
      </w:r>
      <w:proofErr w:type="gramStart"/>
      <w:r w:rsidRPr="00EA0F6B">
        <w:rPr>
          <w:rFonts w:asciiTheme="minorEastAsia" w:eastAsiaTheme="minorEastAsia" w:hAnsiTheme="minorEastAsia" w:hint="eastAsia"/>
          <w:kern w:val="2"/>
          <w:sz w:val="21"/>
          <w:szCs w:val="21"/>
        </w:rPr>
        <w:t>安拆费</w:t>
      </w:r>
      <w:proofErr w:type="gramEnd"/>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w:t>
      </w:r>
      <w:proofErr w:type="gramStart"/>
      <w:r w:rsidRPr="00EA0F6B">
        <w:rPr>
          <w:rFonts w:asciiTheme="minorEastAsia" w:eastAsiaTheme="minorEastAsia" w:hAnsiTheme="minorEastAsia" w:hint="eastAsia"/>
          <w:kern w:val="2"/>
          <w:sz w:val="21"/>
          <w:szCs w:val="21"/>
        </w:rPr>
        <w:t>规</w:t>
      </w:r>
      <w:proofErr w:type="gramEnd"/>
      <w:r w:rsidRPr="00EA0F6B">
        <w:rPr>
          <w:rFonts w:asciiTheme="minorEastAsia" w:eastAsiaTheme="minorEastAsia" w:hAnsiTheme="minorEastAsia" w:hint="eastAsia"/>
          <w:kern w:val="2"/>
          <w:sz w:val="21"/>
          <w:szCs w:val="21"/>
        </w:rPr>
        <w:t>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D.税金</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【答案】B。大型机械设备进出场及</w:t>
      </w:r>
      <w:proofErr w:type="gramStart"/>
      <w:r w:rsidRPr="00EA0F6B">
        <w:rPr>
          <w:rFonts w:asciiTheme="minorEastAsia" w:eastAsiaTheme="minorEastAsia" w:hAnsiTheme="minorEastAsia" w:hint="eastAsia"/>
          <w:kern w:val="2"/>
          <w:sz w:val="21"/>
          <w:szCs w:val="21"/>
        </w:rPr>
        <w:t>安拆费</w:t>
      </w:r>
      <w:proofErr w:type="gramEnd"/>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54.根据《建设工程工程量清算单计价规范》（GB50500</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2008），施工招标投标时，工程量清单应由（）负责提供。</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A.工程招标代理机构</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B.工程设计单位</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C.招投标管理部门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D.招标人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【答案】D。招标人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【解析】参见教材220页中间部分</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55.利润表是反映企业在一定会计期间（）的财务报表。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A.现金流入总额</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B.所有者权益变动总额</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C.经营成果</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D.现金和现金等价物数额</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【答案】C。经营成果</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【解析】参见教材126页关于利润表的介绍。</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56.工程</w:t>
      </w:r>
      <w:proofErr w:type="gramStart"/>
      <w:r w:rsidRPr="00EA0F6B">
        <w:rPr>
          <w:rFonts w:asciiTheme="minorEastAsia" w:eastAsiaTheme="minorEastAsia" w:hAnsiTheme="minorEastAsia" w:hint="eastAsia"/>
          <w:kern w:val="2"/>
          <w:sz w:val="21"/>
          <w:szCs w:val="21"/>
        </w:rPr>
        <w:t>峻工</w:t>
      </w:r>
      <w:proofErr w:type="gramEnd"/>
      <w:r w:rsidRPr="00EA0F6B">
        <w:rPr>
          <w:rFonts w:asciiTheme="minorEastAsia" w:eastAsiaTheme="minorEastAsia" w:hAnsiTheme="minorEastAsia" w:hint="eastAsia"/>
          <w:kern w:val="2"/>
          <w:sz w:val="21"/>
          <w:szCs w:val="21"/>
        </w:rPr>
        <w:t>结算书编制与核对的责任分工是（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A.发包人编制，承包人核对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B.监理机构编制，发包人核对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C.承包人编制，发包人核对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D.造价咨询人编制，承包人核对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【答案】C。承包人编制，发包人核对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【解析】参见教材263页中间部分。</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57.在招投标过程中，若招标文件某分部分项工程量清单项目特征描述与设计图纸不符，投标人报价时应按（ 　）确定综合单价。</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A.设计图纸</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B.预算定额</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C.企业定额</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D.工程量清单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【答案】D。工程量清单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【解析】参见教材237页中下部分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58.审查精度高、效果好，但工作量大，时间较长的施工图预算审查方法是（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A.逐项审查法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B.重点审查法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C.对比审查法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D.筛选审查法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【答案】A。逐项审查法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【解析】参见教材218页上部关于全面审查法的介绍。</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59.某建筑公司融资租赁一台施工设备，设备价格300万元，租期为6年，每年年末支付租金，</w:t>
      </w:r>
      <w:r w:rsidRPr="00EA0F6B">
        <w:rPr>
          <w:rFonts w:asciiTheme="minorEastAsia" w:eastAsiaTheme="minorEastAsia" w:hAnsiTheme="minorEastAsia" w:hint="eastAsia"/>
          <w:kern w:val="2"/>
          <w:sz w:val="21"/>
          <w:szCs w:val="21"/>
        </w:rPr>
        <w:lastRenderedPageBreak/>
        <w:t>折现率为6%，附加率为3%，租赁保证金为30万元，租赁保证金在租赁期满时退还；担保费为2万元，租赁保证金和担保费的时间价值忽略不计，则按附加率法计算的年租金为（ 　）万元。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A.68.0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B.77.0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C.79.0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D.81.6</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【答案】B。77.0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【解析】300*（1+6%*6）/6+300*3%=77(万元)。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60.根据《财政投资项目评审操作规程》（试行）（</w:t>
      </w:r>
      <w:proofErr w:type="gramStart"/>
      <w:r w:rsidRPr="00EA0F6B">
        <w:rPr>
          <w:rFonts w:asciiTheme="minorEastAsia" w:eastAsiaTheme="minorEastAsia" w:hAnsiTheme="minorEastAsia" w:hint="eastAsia"/>
          <w:kern w:val="2"/>
          <w:sz w:val="21"/>
          <w:szCs w:val="21"/>
        </w:rPr>
        <w:t>财办理</w:t>
      </w:r>
      <w:proofErr w:type="gramEnd"/>
      <w:r w:rsidRPr="00EA0F6B">
        <w:rPr>
          <w:rFonts w:asciiTheme="minorEastAsia" w:eastAsiaTheme="minorEastAsia" w:hAnsiTheme="minorEastAsia" w:hint="eastAsia"/>
          <w:kern w:val="2"/>
          <w:sz w:val="21"/>
          <w:szCs w:val="21"/>
        </w:rPr>
        <w:t>[2002]619号），投送评审机构评审的项目概算应由项目（　）提供。</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A.建设单位</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B.主管部门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C.设计单位</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D.施工单位</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【答案】A。建设单位</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【解析】设计概述由建设单位报验。</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二、多项选择题（共20题，每题2分。每题的备选项中，有2个或2个以上符合题意，至少有1个错项、错选，本题不得分；少选、所选的每个选择得0.5分）</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61、根据我国现行《企业会计准则》，应列入流动负值的会计要素有（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A.应付债券</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B.应收账款</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C.短期借款</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D.应付工资</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E.存货</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【答案】CD</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【解析】参见教材123页。</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62.国际工程投标报价前，对估价人员算出的暂时标价进行动态分析时要考虑的因素有（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A.工期延误的影响</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B.分项工程量变化的影响</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C.地质勘察资料错误的影响</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D.物价和工资上涨的影响</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E.汇率，货款利率变化的影响</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【答案】ADE</w:t>
      </w:r>
    </w:p>
    <w:p w:rsidR="00EA0F6B" w:rsidRPr="00EA0F6B" w:rsidRDefault="00EA0F6B" w:rsidP="00EA0F6B">
      <w:pPr>
        <w:widowControl w:val="0"/>
        <w:autoSpaceDE w:val="0"/>
        <w:autoSpaceDN w:val="0"/>
        <w:rPr>
          <w:rFonts w:asciiTheme="minorEastAsia" w:eastAsiaTheme="minorEastAsia" w:hAnsiTheme="minorEastAsia"/>
          <w:kern w:val="2"/>
          <w:sz w:val="21"/>
          <w:szCs w:val="21"/>
        </w:rPr>
      </w:pPr>
      <w:r w:rsidRPr="00EA0F6B">
        <w:rPr>
          <w:rFonts w:asciiTheme="minorEastAsia" w:eastAsiaTheme="minorEastAsia" w:hAnsiTheme="minorEastAsia" w:hint="eastAsia"/>
          <w:kern w:val="2"/>
          <w:sz w:val="21"/>
          <w:szCs w:val="21"/>
        </w:rPr>
        <w:t>【解析】参见教材298页，尤其注意第3点的</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例……</w:t>
      </w:r>
      <w:r w:rsidRPr="00EA0F6B">
        <w:rPr>
          <w:rFonts w:asciiTheme="minorEastAsia" w:eastAsiaTheme="minorEastAsia" w:hAnsiTheme="minorEastAsia"/>
          <w:kern w:val="2"/>
          <w:sz w:val="21"/>
          <w:szCs w:val="21"/>
        </w:rPr>
        <w:t>”</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63.若选定静态评价指标进行技术方案敏感性分析，可以选择（ 　）作为不确定性因素。</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A.投资额、</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B.折现率</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C.产品销售量</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D.产品单价</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E.生产成本</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【答案】ACDE</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【解析】根据教材中的举例，可以用利润指标来进行分析，其可以分析的因素包括投资额、产品销售量、产品单价、生产成本等。参见教材10页的图。</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64.对设备可消除性的有形磨损进行补偿的方式有（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A.更新</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B.现代化改装</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C.大修理</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D.日常保养</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E.淘汰</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【答案】AC</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【解析】参见教材54页图1Z101051。</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65.在传统定额计价模式下，政府主管</w:t>
      </w:r>
      <w:proofErr w:type="gramStart"/>
      <w:r w:rsidRPr="00EA0F6B">
        <w:rPr>
          <w:rFonts w:asciiTheme="minorEastAsia" w:eastAsiaTheme="minorEastAsia" w:hAnsiTheme="minorEastAsia" w:hint="eastAsia"/>
          <w:kern w:val="2"/>
          <w:sz w:val="21"/>
          <w:szCs w:val="21"/>
        </w:rPr>
        <w:t>部产让规定</w:t>
      </w:r>
      <w:proofErr w:type="gramEnd"/>
      <w:r w:rsidRPr="00EA0F6B">
        <w:rPr>
          <w:rFonts w:asciiTheme="minorEastAsia" w:eastAsiaTheme="minorEastAsia" w:hAnsiTheme="minorEastAsia" w:hint="eastAsia"/>
          <w:kern w:val="2"/>
          <w:sz w:val="21"/>
          <w:szCs w:val="21"/>
        </w:rPr>
        <w:t>的计价依据包括（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A.工程预算定额</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B.工程量计算规则</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C.间接费的内容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D.施工方案</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E.间接费的取费标准</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【答案】ABCE</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【解析】参见教材210页中间部分内容。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66.编制施工机械台班使用定额时，属于机械工作实践中损失时间的有（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A.施工本身原因造成的停工时间</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B.非施工原因造成的停工时间</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C.违反劳动纪律引起的时间损失</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D.工人正常的休息时间</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E.低负荷下的工作时间</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【答案】ABCE</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【解析】参见教材184页中的图。</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67.造成价值工程活动对象的价值系数V小于1的可能原因有（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A.评价对象的显示成本偏低</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B.功能现实成本大于功能评价值</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C.可能存在着不足的功能</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D.实现功能的条件或方法不佳</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E.可能存在着过剩的功能</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【答案】BDE</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【解析】参见教材75页倒数第2~4行。</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68.关于招标控制价中</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暂列金额</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的说法，正确的 有（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A.设计图纸详细深入的工程，可适当降低暂列金额</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B.复杂工程的暂列金额可适当提高</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C.暂列金额由材料暂估价和专业工程暂估价两部分组成</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D.暂列金额的估算要考虑工程环境条件</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E.暂列金额应根据拟采用的施工方案估算</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【答案】ABD</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【解析】该题目比较综合，由于暂列金额是招标人在工程量清单中列示的一笔款项。用以支付签约时未明确的费用，所以当设计图纸深入详尽，未明确的事项就少，所以暂列金额可以少一些；复杂工程会存在</w:t>
      </w:r>
      <w:proofErr w:type="gramStart"/>
      <w:r w:rsidRPr="00EA0F6B">
        <w:rPr>
          <w:rFonts w:asciiTheme="minorEastAsia" w:eastAsiaTheme="minorEastAsia" w:hAnsiTheme="minorEastAsia" w:hint="eastAsia"/>
          <w:kern w:val="2"/>
          <w:sz w:val="21"/>
          <w:szCs w:val="21"/>
        </w:rPr>
        <w:t>较多未</w:t>
      </w:r>
      <w:proofErr w:type="gramEnd"/>
      <w:r w:rsidRPr="00EA0F6B">
        <w:rPr>
          <w:rFonts w:asciiTheme="minorEastAsia" w:eastAsiaTheme="minorEastAsia" w:hAnsiTheme="minorEastAsia" w:hint="eastAsia"/>
          <w:kern w:val="2"/>
          <w:sz w:val="21"/>
          <w:szCs w:val="21"/>
        </w:rPr>
        <w:t>明确事项，所以暂列金额会高一些；选项C是暂估价的内容。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69.根据《建筑安装工程费用项目组成》（建标【2003】206号）属于建筑安装工程施工机械使用费的有（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A.施工机械大修理费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B.施工机械经常修理费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C.机上司机和其他操作人员的工作日人工费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D.施工机械按规定缴纳的车船使用税</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E.大型机械设备进出场及</w:t>
      </w:r>
      <w:proofErr w:type="gramStart"/>
      <w:r w:rsidRPr="00EA0F6B">
        <w:rPr>
          <w:rFonts w:asciiTheme="minorEastAsia" w:eastAsiaTheme="minorEastAsia" w:hAnsiTheme="minorEastAsia" w:hint="eastAsia"/>
          <w:kern w:val="2"/>
          <w:sz w:val="21"/>
          <w:szCs w:val="21"/>
        </w:rPr>
        <w:t>安拆费</w:t>
      </w:r>
      <w:proofErr w:type="gramEnd"/>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【答案】ABCD</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【解析】参见教材166~167页。</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70.我国现行《企业会计准则》，收益性支出不包括（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A.外购材料支出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B.非常损失</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C.固定资产盘亏</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D.管理费用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E.营业费用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【答案】BC</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【解析】BC两项属于营业外支出。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71、企业编制人工定额时要拟定施工作业的定额时间，应当包括在定额时间内的工人工作时间消耗有（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A.基本工作时间</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B.施工组织不善造成的停工时间</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C.辅助工作时间</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D.不可避免的中断时间</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E.准备与结束的工作时间</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【答案】ACDE</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【解析】参见教材178页图1Z103032。</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72、下列短期负债筹资方式中，属于商业信用形式的有（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A.抵押贷款</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B.预收账款</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C.应付账款</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D.商业承兑汇票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E.银行承兑汇票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【答案】BCDE</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【解析】参见教材140~141页，尤其注意的是商业承兑汇票和银行承兑汇票都属于</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应付票据</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73、关于基准收益率的说法，正确的有（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A.测定基准收益率不需要考虑通货膨胀因素</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B.基准收益率是投资资金应获得的最低盈利水平</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C.测定基准收益率应考虑资金成本因素</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D.基准收益率取值高低应体现对项目风险程度的估计</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E.债务资金比例高的项目应降低基准收益率取值</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【答案】BCD</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【解析】参见教材26~27页相关概念的表述。</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74、关于有效利率和名义利率关系的说法，正确的有（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A.年有效利率和名义利率的关系实质上与复制和单利的关系一样</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B.每年计息周期数越多，则年有效利率和名义利率的差异越大</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C.只要名义利率大于零，则据此计算出来的年有效利率一定大于年名义利率</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D.计息周期与利率周期相同时，周期名义利率与有效利率相等</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E.单利计息时，名义利率和有效利率没有差异</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【答案】ABE</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【解析】选项C很有迷惑性，当实际的计息周期大于1年时，选项C所表述的内容就不正确了。</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75、下列成本费用中，属于经营成本的有（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A.修理费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B.外购原材料费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C.外购燃料及动力费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D.折旧费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E.利息支出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【答案】ABC</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【解析】参见教材50页第二行公式。</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76、根据《建设工程施工合同（示范文本）》（GF-99-0201），关于工程变更程序的说法，正确的有（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A.发包人若需对原工程设计进行变更，应提前７天书面通知承包人</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B.工程变更超过原设计标准或批准的建设规模时，发包人应该重新报批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C.对于发包人的变更通知，承包人有权拒绝执行</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D.承包人在施工中提出的合理化建议设计设计图纸更改的，须经工程师同意</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E.未经工程师同意，承包人擅自变更工程的，承包人应承担由此发生的相应费用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【答案】BDE</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【解析】选项A应该是14天；选项D是正确的，即先经工程师同意，然后才由原设计单位变更设计。参见教材258页。</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77、根据《建筑安装工程费用项目组成》（建标[2003]206号），建筑安装工程的</w:t>
      </w:r>
      <w:proofErr w:type="gramStart"/>
      <w:r w:rsidRPr="00EA0F6B">
        <w:rPr>
          <w:rFonts w:asciiTheme="minorEastAsia" w:eastAsiaTheme="minorEastAsia" w:hAnsiTheme="minorEastAsia" w:hint="eastAsia"/>
          <w:kern w:val="2"/>
          <w:sz w:val="21"/>
          <w:szCs w:val="21"/>
        </w:rPr>
        <w:t>规</w:t>
      </w:r>
      <w:proofErr w:type="gramEnd"/>
      <w:r w:rsidRPr="00EA0F6B">
        <w:rPr>
          <w:rFonts w:asciiTheme="minorEastAsia" w:eastAsiaTheme="minorEastAsia" w:hAnsiTheme="minorEastAsia" w:hint="eastAsia"/>
          <w:kern w:val="2"/>
          <w:sz w:val="21"/>
          <w:szCs w:val="21"/>
        </w:rPr>
        <w:t>费包括（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A.工程排污费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B.企业按规定标准为职工缴纳的养老保险费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C.企业为进行施工搭设临时设施的费用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D.施工机械停用期间的维护和保养费用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E.企业按规定标准为职工缴纳的住房公积金</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【答案】ABE</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【解析】参见教材169页，这是12年教材变化的内容。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lastRenderedPageBreak/>
        <w:t>78、某总造价500万元的固定总价建造合同，约定工期为3年。假定经计算期第1年完工进度为30%，第2年完工进度为70%，第3年全部完工交付使用。则关于合同收入确认的说法，正确的有（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A.第2年确认的合同收入为3500万元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B.第3年确认的合同收入为0</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C.第1年确认的合同收入为1500万元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D.第3年确认的合同收入少于第2年</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E.3年累计确认的合同收入为5000万元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【答案】CDE</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【解析】第一年确定的收入为5000*30%=1500（万元）；第二年确定的收入为5000*70%-1500=2000（万元），第三年确定的收入为5000-1500-2000=1500（万元）。</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79、根据我国现行《企业会计准则》，企业财务报表至少应当包括（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A.资产负债表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B.利润表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C.现金流量表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D.所有者权益变动表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E.成本分析法</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【答案】ABCD</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【解析】参见教材122页中间部分的表述。</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80、下列费用中，应计入建设工程项目投资中</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生产准备费</w:t>
      </w:r>
      <w:r w:rsidRPr="00EA0F6B">
        <w:rPr>
          <w:rFonts w:asciiTheme="minorEastAsia" w:eastAsiaTheme="minorEastAsia" w:hAnsiTheme="minorEastAsia"/>
          <w:kern w:val="2"/>
          <w:sz w:val="21"/>
          <w:szCs w:val="21"/>
        </w:rPr>
        <w:t>”</w:t>
      </w:r>
      <w:r w:rsidRPr="00EA0F6B">
        <w:rPr>
          <w:rFonts w:asciiTheme="minorEastAsia" w:eastAsiaTheme="minorEastAsia" w:hAnsiTheme="minorEastAsia" w:hint="eastAsia"/>
          <w:kern w:val="2"/>
          <w:sz w:val="21"/>
          <w:szCs w:val="21"/>
        </w:rPr>
        <w:t>的有（　 ）</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A.生产职工培训费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B.购买原材料、能源的费用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C.办公家具购置费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D.联合试运转费</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E.提前进厂人员的工资、福利等费用</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【答案】AE</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r w:rsidRPr="00EA0F6B">
        <w:rPr>
          <w:rFonts w:asciiTheme="minorEastAsia" w:eastAsiaTheme="minorEastAsia" w:hAnsiTheme="minorEastAsia" w:hint="eastAsia"/>
          <w:kern w:val="2"/>
          <w:sz w:val="21"/>
          <w:szCs w:val="21"/>
        </w:rPr>
        <w:t>【解析】参见教材162页中间部分。</w:t>
      </w:r>
    </w:p>
    <w:p w:rsidR="00EA0F6B" w:rsidRPr="00EA0F6B" w:rsidRDefault="00EA0F6B" w:rsidP="00EA0F6B">
      <w:pPr>
        <w:widowControl w:val="0"/>
        <w:autoSpaceDE w:val="0"/>
        <w:autoSpaceDN w:val="0"/>
        <w:rPr>
          <w:rFonts w:asciiTheme="minorEastAsia" w:eastAsiaTheme="minorEastAsia" w:hAnsiTheme="minorEastAsia" w:hint="eastAsia"/>
          <w:kern w:val="2"/>
          <w:sz w:val="21"/>
          <w:szCs w:val="21"/>
        </w:rPr>
      </w:pPr>
    </w:p>
    <w:p w:rsidR="00EA0F6B" w:rsidRPr="00EA0F6B" w:rsidRDefault="00EA0F6B" w:rsidP="00EA0F6B">
      <w:pPr>
        <w:rPr>
          <w:rFonts w:asciiTheme="minorEastAsia" w:eastAsiaTheme="minorEastAsia" w:hAnsiTheme="minorEastAsia"/>
          <w:sz w:val="21"/>
          <w:szCs w:val="21"/>
        </w:rPr>
      </w:pPr>
    </w:p>
    <w:p w:rsidR="004358AB" w:rsidRPr="00EA0F6B" w:rsidRDefault="004358AB" w:rsidP="00EA0F6B">
      <w:pPr>
        <w:rPr>
          <w:rFonts w:asciiTheme="minorEastAsia" w:eastAsiaTheme="minorEastAsia" w:hAnsiTheme="minorEastAsia"/>
          <w:sz w:val="21"/>
          <w:szCs w:val="21"/>
        </w:rPr>
      </w:pPr>
    </w:p>
    <w:sectPr w:rsidR="004358AB" w:rsidRPr="00EA0F6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038D" w:rsidRDefault="0098038D" w:rsidP="00EA0F6B">
      <w:pPr>
        <w:spacing w:after="0"/>
      </w:pPr>
      <w:r>
        <w:separator/>
      </w:r>
    </w:p>
  </w:endnote>
  <w:endnote w:type="continuationSeparator" w:id="0">
    <w:p w:rsidR="0098038D" w:rsidRDefault="0098038D" w:rsidP="00EA0F6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038D" w:rsidRDefault="0098038D" w:rsidP="00EA0F6B">
      <w:pPr>
        <w:spacing w:after="0"/>
      </w:pPr>
      <w:r>
        <w:separator/>
      </w:r>
    </w:p>
  </w:footnote>
  <w:footnote w:type="continuationSeparator" w:id="0">
    <w:p w:rsidR="0098038D" w:rsidRDefault="0098038D" w:rsidP="00EA0F6B">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D31D50"/>
    <w:rsid w:val="00323B43"/>
    <w:rsid w:val="003D37D8"/>
    <w:rsid w:val="00426133"/>
    <w:rsid w:val="004358AB"/>
    <w:rsid w:val="008B7726"/>
    <w:rsid w:val="0098038D"/>
    <w:rsid w:val="00D31D50"/>
    <w:rsid w:val="00EA0F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E58885A-3192-44EA-8201-1AD706177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EA0F6B"/>
    <w:rPr>
      <w:color w:val="0000FF"/>
      <w:u w:val="single"/>
    </w:rPr>
  </w:style>
  <w:style w:type="paragraph" w:styleId="a4">
    <w:name w:val="footer"/>
    <w:basedOn w:val="a"/>
    <w:link w:val="Char"/>
    <w:rsid w:val="00EA0F6B"/>
    <w:pPr>
      <w:widowControl w:val="0"/>
      <w:tabs>
        <w:tab w:val="center" w:pos="4153"/>
        <w:tab w:val="right" w:pos="8306"/>
      </w:tabs>
      <w:adjustRightInd/>
      <w:spacing w:after="0"/>
    </w:pPr>
    <w:rPr>
      <w:rFonts w:ascii="Times New Roman" w:eastAsia="宋体" w:hAnsi="Times New Roman" w:cs="Times New Roman"/>
      <w:kern w:val="2"/>
      <w:sz w:val="18"/>
      <w:szCs w:val="20"/>
    </w:rPr>
  </w:style>
  <w:style w:type="character" w:customStyle="1" w:styleId="Char">
    <w:name w:val="页脚 Char"/>
    <w:basedOn w:val="a0"/>
    <w:link w:val="a4"/>
    <w:rsid w:val="00EA0F6B"/>
    <w:rPr>
      <w:rFonts w:ascii="Times New Roman" w:eastAsia="宋体" w:hAnsi="Times New Roman" w:cs="Times New Roman"/>
      <w:kern w:val="2"/>
      <w:sz w:val="18"/>
      <w:szCs w:val="20"/>
    </w:rPr>
  </w:style>
  <w:style w:type="paragraph" w:styleId="a5">
    <w:name w:val="header"/>
    <w:basedOn w:val="a"/>
    <w:link w:val="Char0"/>
    <w:uiPriority w:val="99"/>
    <w:unhideWhenUsed/>
    <w:rsid w:val="00EA0F6B"/>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5"/>
    <w:uiPriority w:val="99"/>
    <w:rsid w:val="00EA0F6B"/>
    <w:rPr>
      <w:rFonts w:ascii="Tahoma" w:hAnsi="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26</Pages>
  <Words>1895</Words>
  <Characters>10805</Characters>
  <Application>Microsoft Office Word</Application>
  <DocSecurity>0</DocSecurity>
  <Lines>90</Lines>
  <Paragraphs>25</Paragraphs>
  <ScaleCrop>false</ScaleCrop>
  <Company/>
  <LinksUpToDate>false</LinksUpToDate>
  <CharactersWithSpaces>12675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2</cp:revision>
  <dcterms:created xsi:type="dcterms:W3CDTF">2008-09-11T17:20:00Z</dcterms:created>
  <dcterms:modified xsi:type="dcterms:W3CDTF">2018-05-08T06:12:00Z</dcterms:modified>
</cp:coreProperties>
</file>